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F8" w:rsidRPr="00F31801" w:rsidRDefault="005405F8" w:rsidP="00372516">
      <w:pPr>
        <w:bidi/>
        <w:ind w:firstLine="0"/>
        <w:jc w:val="center"/>
        <w:rPr>
          <w:rFonts w:ascii="filma" w:hAnsi="filma"/>
          <w:b/>
          <w:noProof/>
          <w:sz w:val="28"/>
          <w:szCs w:val="28"/>
          <w:lang w:bidi="yi-Hebr"/>
        </w:rPr>
      </w:pPr>
      <w:bookmarkStart w:id="0" w:name="_GoBack"/>
      <w:bookmarkEnd w:id="0"/>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5405F8" w:rsidRPr="00F31801" w:rsidRDefault="005405F8" w:rsidP="005405F8">
      <w:pPr>
        <w:overflowPunct/>
        <w:autoSpaceDE/>
        <w:autoSpaceDN/>
        <w:adjustRightInd/>
        <w:spacing w:after="0"/>
        <w:ind w:firstLine="0"/>
        <w:jc w:val="center"/>
        <w:textAlignment w:val="auto"/>
        <w:rPr>
          <w:b/>
          <w:noProof/>
          <w:sz w:val="36"/>
          <w:szCs w:val="36"/>
          <w:lang w:bidi="yi-Hebr"/>
        </w:rPr>
      </w:pPr>
    </w:p>
    <w:p w:rsidR="00F06DBE" w:rsidRPr="00C53A75" w:rsidRDefault="005405F8" w:rsidP="005405F8">
      <w:pPr>
        <w:overflowPunct/>
        <w:autoSpaceDE/>
        <w:autoSpaceDN/>
        <w:adjustRightInd/>
        <w:spacing w:after="0"/>
        <w:ind w:firstLine="0"/>
        <w:jc w:val="center"/>
        <w:textAlignment w:val="auto"/>
        <w:rPr>
          <w:b/>
          <w:noProof/>
          <w:sz w:val="32"/>
          <w:szCs w:val="32"/>
          <w:lang w:bidi="yi-Hebr"/>
        </w:rPr>
      </w:pPr>
      <w:bookmarkStart w:id="1" w:name="OLE_LINK5"/>
      <w:bookmarkStart w:id="2" w:name="OLE_LINK6"/>
      <w:bookmarkStart w:id="3" w:name="OLE_LINK1"/>
      <w:bookmarkStart w:id="4" w:name="OLE_LINK2"/>
      <w:r w:rsidRPr="00C53A75">
        <w:rPr>
          <w:b/>
          <w:noProof/>
          <w:sz w:val="32"/>
          <w:szCs w:val="32"/>
          <w:lang w:bidi="yi-Hebr"/>
        </w:rPr>
        <w:t xml:space="preserve">Informatīvais ziņojums </w:t>
      </w:r>
    </w:p>
    <w:bookmarkEnd w:id="1"/>
    <w:bookmarkEnd w:id="2"/>
    <w:p w:rsidR="00213B14" w:rsidRPr="00497A00" w:rsidRDefault="00213B14" w:rsidP="00213B14">
      <w:pPr>
        <w:overflowPunct/>
        <w:autoSpaceDE/>
        <w:autoSpaceDN/>
        <w:adjustRightInd/>
        <w:spacing w:after="0"/>
        <w:ind w:firstLine="0"/>
        <w:jc w:val="center"/>
        <w:textAlignment w:val="auto"/>
        <w:rPr>
          <w:rFonts w:asciiTheme="majorBidi" w:hAnsiTheme="majorBidi" w:cstheme="majorBidi"/>
          <w:b/>
          <w:noProof/>
          <w:sz w:val="32"/>
          <w:szCs w:val="32"/>
          <w:lang w:bidi="yi-Hebr"/>
        </w:rPr>
      </w:pPr>
      <w:r w:rsidRPr="00C53A75">
        <w:rPr>
          <w:b/>
          <w:noProof/>
          <w:sz w:val="32"/>
          <w:szCs w:val="32"/>
          <w:lang w:bidi="yi-Hebr"/>
        </w:rPr>
        <w:t>„</w:t>
      </w:r>
      <w:r w:rsidRPr="00497A00">
        <w:rPr>
          <w:rFonts w:asciiTheme="majorBidi" w:hAnsiTheme="majorBidi" w:cstheme="majorBidi"/>
          <w:b/>
          <w:noProof/>
          <w:sz w:val="32"/>
          <w:szCs w:val="32"/>
          <w:lang w:bidi="yi-Hebr"/>
        </w:rPr>
        <w:t>Par XXV Vispārējo latviešu dziesmu un XV Deju svētku</w:t>
      </w:r>
    </w:p>
    <w:p w:rsidR="00213B14" w:rsidRPr="00497A00" w:rsidRDefault="00213B14" w:rsidP="00213B14">
      <w:pPr>
        <w:jc w:val="center"/>
        <w:rPr>
          <w:rFonts w:asciiTheme="majorBidi" w:hAnsiTheme="majorBidi" w:cstheme="majorBidi"/>
          <w:b/>
          <w:sz w:val="32"/>
          <w:szCs w:val="32"/>
        </w:rPr>
      </w:pPr>
      <w:r w:rsidRPr="00497A00">
        <w:rPr>
          <w:rFonts w:asciiTheme="majorBidi" w:hAnsiTheme="majorBidi" w:cstheme="majorBidi"/>
          <w:b/>
          <w:sz w:val="32"/>
          <w:szCs w:val="32"/>
        </w:rPr>
        <w:t>īstenošanai piešķirtā finansējuma izlietojumu”</w:t>
      </w:r>
    </w:p>
    <w:bookmarkEnd w:id="3"/>
    <w:bookmarkEnd w:id="4"/>
    <w:p w:rsidR="00213B14" w:rsidRPr="00C53A75" w:rsidRDefault="00213B14" w:rsidP="00213B14">
      <w:pPr>
        <w:overflowPunct/>
        <w:autoSpaceDE/>
        <w:autoSpaceDN/>
        <w:adjustRightInd/>
        <w:spacing w:after="0"/>
        <w:ind w:firstLine="0"/>
        <w:jc w:val="center"/>
        <w:textAlignment w:val="auto"/>
        <w:rPr>
          <w:rFonts w:asciiTheme="majorBidi" w:hAnsiTheme="majorBidi" w:cstheme="majorBidi"/>
          <w:b/>
          <w:noProof/>
          <w:sz w:val="32"/>
          <w:szCs w:val="32"/>
          <w:lang w:bidi="yi-Hebr"/>
        </w:rPr>
      </w:pPr>
    </w:p>
    <w:p w:rsidR="00213B14" w:rsidRPr="00F31801" w:rsidRDefault="00213B14" w:rsidP="00213B14">
      <w:pPr>
        <w:overflowPunct/>
        <w:autoSpaceDE/>
        <w:autoSpaceDN/>
        <w:adjustRightInd/>
        <w:spacing w:after="200" w:line="276" w:lineRule="auto"/>
        <w:ind w:firstLine="0"/>
        <w:jc w:val="left"/>
        <w:textAlignment w:val="auto"/>
        <w:rPr>
          <w:noProof/>
          <w:sz w:val="28"/>
          <w:szCs w:val="28"/>
          <w:lang w:bidi="yi-Hebr"/>
        </w:rPr>
      </w:pPr>
    </w:p>
    <w:p w:rsidR="005405F8" w:rsidRPr="00F31801" w:rsidRDefault="005405F8" w:rsidP="005405F8">
      <w:pPr>
        <w:rPr>
          <w:noProof/>
          <w:sz w:val="28"/>
          <w:szCs w:val="28"/>
          <w:lang w:bidi="yi-Hebr"/>
        </w:rPr>
      </w:pPr>
    </w:p>
    <w:p w:rsidR="005405F8" w:rsidRPr="00F31801" w:rsidRDefault="005405F8" w:rsidP="00F06DBE">
      <w:pPr>
        <w:ind w:firstLine="0"/>
        <w:rPr>
          <w:noProof/>
          <w:sz w:val="28"/>
          <w:szCs w:val="28"/>
          <w:lang w:bidi="yi-Hebr"/>
        </w:rPr>
      </w:pPr>
    </w:p>
    <w:p w:rsidR="005405F8" w:rsidRPr="00F31801" w:rsidRDefault="005405F8" w:rsidP="005405F8">
      <w:pPr>
        <w:rPr>
          <w:noProof/>
          <w:sz w:val="28"/>
          <w:szCs w:val="28"/>
          <w:lang w:bidi="yi-Hebr"/>
        </w:rPr>
      </w:pPr>
    </w:p>
    <w:p w:rsidR="00C53A75" w:rsidRDefault="00C53A75" w:rsidP="00F06DBE">
      <w:pPr>
        <w:jc w:val="center"/>
        <w:rPr>
          <w:noProof/>
          <w:sz w:val="28"/>
          <w:szCs w:val="28"/>
          <w:lang w:bidi="yi-Hebr"/>
        </w:rPr>
      </w:pPr>
    </w:p>
    <w:p w:rsidR="00C53A75" w:rsidRDefault="00C53A75" w:rsidP="00F06DBE">
      <w:pPr>
        <w:jc w:val="center"/>
        <w:rPr>
          <w:noProof/>
          <w:sz w:val="28"/>
          <w:szCs w:val="28"/>
          <w:lang w:bidi="yi-Hebr"/>
        </w:rPr>
      </w:pPr>
    </w:p>
    <w:p w:rsidR="00C53A75" w:rsidRDefault="00C53A75" w:rsidP="00F06DBE">
      <w:pPr>
        <w:jc w:val="center"/>
        <w:rPr>
          <w:noProof/>
          <w:sz w:val="28"/>
          <w:szCs w:val="28"/>
          <w:lang w:bidi="yi-Hebr"/>
        </w:rPr>
      </w:pPr>
    </w:p>
    <w:p w:rsidR="00C53A75" w:rsidRDefault="00C53A75" w:rsidP="00F06DBE">
      <w:pPr>
        <w:jc w:val="center"/>
        <w:rPr>
          <w:noProof/>
          <w:sz w:val="28"/>
          <w:szCs w:val="28"/>
          <w:lang w:bidi="yi-Hebr"/>
        </w:rPr>
      </w:pPr>
    </w:p>
    <w:p w:rsidR="00C53A75" w:rsidRDefault="00C53A75" w:rsidP="00F06DBE">
      <w:pPr>
        <w:jc w:val="center"/>
        <w:rPr>
          <w:noProof/>
          <w:sz w:val="28"/>
          <w:szCs w:val="28"/>
          <w:lang w:bidi="yi-Hebr"/>
        </w:rPr>
      </w:pPr>
    </w:p>
    <w:p w:rsidR="00C53A75" w:rsidRDefault="00C53A75" w:rsidP="00F06DBE">
      <w:pPr>
        <w:jc w:val="center"/>
        <w:rPr>
          <w:noProof/>
          <w:sz w:val="28"/>
          <w:szCs w:val="28"/>
          <w:lang w:bidi="yi-Hebr"/>
        </w:rPr>
      </w:pPr>
    </w:p>
    <w:p w:rsidR="00C53A75" w:rsidRDefault="00C53A75" w:rsidP="00F06DBE">
      <w:pPr>
        <w:jc w:val="center"/>
        <w:rPr>
          <w:noProof/>
          <w:sz w:val="28"/>
          <w:szCs w:val="28"/>
          <w:lang w:bidi="yi-Hebr"/>
        </w:rPr>
      </w:pPr>
    </w:p>
    <w:p w:rsidR="005405F8" w:rsidRPr="00F31801" w:rsidRDefault="005405F8" w:rsidP="00F06DBE">
      <w:pPr>
        <w:jc w:val="center"/>
        <w:rPr>
          <w:noProof/>
          <w:sz w:val="28"/>
          <w:szCs w:val="28"/>
          <w:lang w:bidi="yi-Hebr"/>
        </w:rPr>
      </w:pPr>
      <w:r w:rsidRPr="00F31801">
        <w:rPr>
          <w:noProof/>
          <w:sz w:val="28"/>
          <w:szCs w:val="28"/>
          <w:lang w:bidi="yi-Hebr"/>
        </w:rPr>
        <w:t>Rīgā,</w:t>
      </w:r>
      <w:r w:rsidR="00F06DBE" w:rsidRPr="00F31801">
        <w:rPr>
          <w:noProof/>
          <w:sz w:val="28"/>
          <w:szCs w:val="28"/>
          <w:lang w:bidi="yi-Hebr"/>
        </w:rPr>
        <w:t xml:space="preserve"> </w:t>
      </w:r>
      <w:r w:rsidRPr="00F31801">
        <w:rPr>
          <w:noProof/>
          <w:sz w:val="28"/>
          <w:szCs w:val="28"/>
          <w:lang w:bidi="yi-Hebr"/>
        </w:rPr>
        <w:t>2013</w:t>
      </w:r>
    </w:p>
    <w:p w:rsidR="005405F8" w:rsidRPr="00F31801" w:rsidRDefault="005405F8" w:rsidP="005405F8">
      <w:pPr>
        <w:rPr>
          <w:noProof/>
          <w:sz w:val="28"/>
          <w:szCs w:val="28"/>
          <w:lang w:bidi="yi-Hebr"/>
        </w:rPr>
      </w:pPr>
    </w:p>
    <w:p w:rsidR="008E5134" w:rsidRDefault="00C53A75" w:rsidP="006376D9">
      <w:pPr>
        <w:rPr>
          <w:noProof/>
          <w:sz w:val="28"/>
          <w:szCs w:val="28"/>
          <w:lang w:bidi="yi-Hebr"/>
        </w:rPr>
      </w:pPr>
      <w:r>
        <w:rPr>
          <w:noProof/>
          <w:sz w:val="28"/>
          <w:szCs w:val="28"/>
          <w:lang w:bidi="yi-Hebr"/>
        </w:rPr>
        <w:br w:type="column"/>
      </w:r>
      <w:r w:rsidR="005405F8" w:rsidRPr="00F31801">
        <w:rPr>
          <w:noProof/>
          <w:sz w:val="28"/>
          <w:szCs w:val="28"/>
          <w:lang w:bidi="yi-Hebr"/>
        </w:rPr>
        <w:lastRenderedPageBreak/>
        <w:t xml:space="preserve">Informatīvais ziņojums </w:t>
      </w:r>
      <w:r w:rsidR="006008E7" w:rsidRPr="00F31801">
        <w:rPr>
          <w:noProof/>
          <w:sz w:val="28"/>
          <w:szCs w:val="28"/>
          <w:lang w:bidi="yi-Hebr"/>
        </w:rPr>
        <w:t xml:space="preserve">„Par </w:t>
      </w:r>
      <w:r w:rsidR="000A1D93">
        <w:rPr>
          <w:noProof/>
          <w:sz w:val="28"/>
          <w:szCs w:val="28"/>
          <w:lang w:bidi="yi-Hebr"/>
        </w:rPr>
        <w:t xml:space="preserve">XXV </w:t>
      </w:r>
      <w:r w:rsidR="006008E7" w:rsidRPr="00F31801">
        <w:rPr>
          <w:noProof/>
          <w:sz w:val="28"/>
          <w:szCs w:val="28"/>
          <w:lang w:bidi="yi-Hebr"/>
        </w:rPr>
        <w:t xml:space="preserve">Vispārējo latviešu dziesmu un </w:t>
      </w:r>
      <w:r w:rsidR="000A1D93">
        <w:rPr>
          <w:noProof/>
          <w:sz w:val="28"/>
          <w:szCs w:val="28"/>
          <w:lang w:bidi="yi-Hebr"/>
        </w:rPr>
        <w:t xml:space="preserve">XV </w:t>
      </w:r>
      <w:r w:rsidR="006008E7" w:rsidRPr="00F31801">
        <w:rPr>
          <w:noProof/>
          <w:sz w:val="28"/>
          <w:szCs w:val="28"/>
          <w:lang w:bidi="yi-Hebr"/>
        </w:rPr>
        <w:t xml:space="preserve">deju svētku </w:t>
      </w:r>
      <w:r w:rsidR="000A1D93">
        <w:rPr>
          <w:noProof/>
          <w:sz w:val="28"/>
          <w:szCs w:val="28"/>
          <w:lang w:bidi="yi-Hebr"/>
        </w:rPr>
        <w:t xml:space="preserve">īstenošanai piešķirtā  </w:t>
      </w:r>
      <w:r w:rsidR="006008E7" w:rsidRPr="00F31801">
        <w:rPr>
          <w:noProof/>
          <w:sz w:val="28"/>
          <w:szCs w:val="28"/>
          <w:lang w:bidi="yi-Hebr"/>
        </w:rPr>
        <w:t xml:space="preserve">finansējuma </w:t>
      </w:r>
      <w:r w:rsidR="000A1D93">
        <w:rPr>
          <w:noProof/>
          <w:sz w:val="28"/>
          <w:szCs w:val="28"/>
          <w:lang w:bidi="yi-Hebr"/>
        </w:rPr>
        <w:t>izlietojumu</w:t>
      </w:r>
      <w:r w:rsidR="006008E7" w:rsidRPr="00F31801">
        <w:rPr>
          <w:noProof/>
          <w:sz w:val="28"/>
          <w:szCs w:val="28"/>
          <w:lang w:bidi="yi-Hebr"/>
        </w:rPr>
        <w:t xml:space="preserve">” </w:t>
      </w:r>
      <w:r w:rsidR="005405F8" w:rsidRPr="00F31801">
        <w:rPr>
          <w:noProof/>
          <w:sz w:val="28"/>
          <w:szCs w:val="28"/>
          <w:lang w:bidi="yi-Hebr"/>
        </w:rPr>
        <w:t xml:space="preserve">(turpmāk – informatīvais ziņojums) sagatavots, </w:t>
      </w:r>
      <w:r w:rsidR="002625EA" w:rsidRPr="00F31801">
        <w:rPr>
          <w:noProof/>
          <w:sz w:val="28"/>
          <w:szCs w:val="28"/>
          <w:lang w:bidi="yi-Hebr"/>
        </w:rPr>
        <w:t>lai nodrošinātu Dziesmu un deju svētku tradīcijas ilgtspēju.</w:t>
      </w:r>
    </w:p>
    <w:p w:rsidR="005426B5" w:rsidRPr="00F31801" w:rsidRDefault="005426B5" w:rsidP="006376D9">
      <w:pPr>
        <w:rPr>
          <w:noProof/>
          <w:sz w:val="28"/>
          <w:szCs w:val="28"/>
          <w:lang w:bidi="yi-Hebr"/>
        </w:rPr>
      </w:pPr>
    </w:p>
    <w:p w:rsidR="005405F8" w:rsidRPr="00F31801" w:rsidRDefault="005405F8" w:rsidP="006376D9">
      <w:pPr>
        <w:ind w:firstLine="709"/>
        <w:jc w:val="center"/>
        <w:rPr>
          <w:b/>
          <w:noProof/>
          <w:sz w:val="28"/>
          <w:szCs w:val="28"/>
          <w:lang w:bidi="yi-Hebr"/>
        </w:rPr>
      </w:pPr>
      <w:r w:rsidRPr="00F31801">
        <w:rPr>
          <w:b/>
          <w:noProof/>
          <w:sz w:val="28"/>
          <w:szCs w:val="28"/>
          <w:lang w:bidi="yi-Hebr"/>
        </w:rPr>
        <w:t>I. Esošās situācijas apraksts</w:t>
      </w:r>
    </w:p>
    <w:p w:rsidR="005405F8" w:rsidRDefault="00BE0AFA" w:rsidP="00BE0AFA">
      <w:pPr>
        <w:overflowPunct/>
        <w:autoSpaceDE/>
        <w:autoSpaceDN/>
        <w:adjustRightInd/>
        <w:spacing w:after="0"/>
        <w:ind w:firstLine="709"/>
        <w:textAlignment w:val="auto"/>
        <w:rPr>
          <w:noProof/>
          <w:sz w:val="28"/>
          <w:szCs w:val="28"/>
          <w:lang w:bidi="yi-Hebr"/>
        </w:rPr>
      </w:pPr>
      <w:r w:rsidRPr="00F31801">
        <w:rPr>
          <w:noProof/>
          <w:sz w:val="28"/>
          <w:szCs w:val="28"/>
          <w:lang w:bidi="yi-Hebr"/>
        </w:rPr>
        <w:t xml:space="preserve">Saskaņā ar Ministru kabineta Ministru kabineta 2012.gada 19.septembra rīkojumu Nr.448 „Par XXV Vispārējo latviešu dziesmu un XV Deju svētku norises laiku un vietām”, XXV Vispārējie latviešu Dziesmu un XV Deju svētki </w:t>
      </w:r>
      <w:r w:rsidR="00337F3A">
        <w:rPr>
          <w:noProof/>
          <w:sz w:val="28"/>
          <w:szCs w:val="28"/>
          <w:lang w:bidi="yi-Hebr"/>
        </w:rPr>
        <w:t>(</w:t>
      </w:r>
      <w:r w:rsidRPr="00F31801">
        <w:rPr>
          <w:noProof/>
          <w:sz w:val="28"/>
          <w:szCs w:val="28"/>
          <w:lang w:bidi="yi-Hebr"/>
        </w:rPr>
        <w:t xml:space="preserve">turpmāk </w:t>
      </w:r>
      <w:r w:rsidR="00033DFA" w:rsidRPr="00F31801">
        <w:rPr>
          <w:noProof/>
          <w:sz w:val="28"/>
          <w:szCs w:val="28"/>
          <w:lang w:bidi="yi-Hebr"/>
        </w:rPr>
        <w:t xml:space="preserve">– </w:t>
      </w:r>
      <w:r w:rsidRPr="00F31801">
        <w:rPr>
          <w:noProof/>
          <w:sz w:val="28"/>
          <w:szCs w:val="28"/>
          <w:lang w:bidi="yi-Hebr"/>
        </w:rPr>
        <w:t>Svētki</w:t>
      </w:r>
      <w:r w:rsidR="00337F3A">
        <w:rPr>
          <w:noProof/>
          <w:sz w:val="28"/>
          <w:szCs w:val="28"/>
          <w:lang w:bidi="yi-Hebr"/>
        </w:rPr>
        <w:t>)</w:t>
      </w:r>
      <w:r w:rsidRPr="00F31801">
        <w:rPr>
          <w:noProof/>
          <w:sz w:val="28"/>
          <w:szCs w:val="28"/>
          <w:lang w:bidi="yi-Hebr"/>
        </w:rPr>
        <w:t xml:space="preserve"> norisinājās Rīgā no 2013.gada 30.jūnija līdz 7.jūlijam. Svētkos pavisam kopā piedalījās 40</w:t>
      </w:r>
      <w:r w:rsidR="009A4DDC" w:rsidRPr="00F31801">
        <w:rPr>
          <w:noProof/>
          <w:sz w:val="28"/>
          <w:szCs w:val="28"/>
          <w:lang w:bidi="yi-Hebr"/>
        </w:rPr>
        <w:t xml:space="preserve"> </w:t>
      </w:r>
      <w:r w:rsidRPr="00F31801">
        <w:rPr>
          <w:noProof/>
          <w:sz w:val="28"/>
          <w:szCs w:val="28"/>
          <w:lang w:bidi="yi-Hebr"/>
        </w:rPr>
        <w:t>600 dal</w:t>
      </w:r>
      <w:r w:rsidR="00F06DBE" w:rsidRPr="00F31801">
        <w:rPr>
          <w:noProof/>
          <w:sz w:val="28"/>
          <w:szCs w:val="28"/>
          <w:lang w:bidi="yi-Hebr"/>
        </w:rPr>
        <w:t xml:space="preserve">ībnieku no Latvijas, </w:t>
      </w:r>
      <w:r w:rsidR="009933F5" w:rsidRPr="00F31801">
        <w:rPr>
          <w:noProof/>
          <w:sz w:val="28"/>
          <w:szCs w:val="28"/>
          <w:lang w:bidi="yi-Hebr"/>
        </w:rPr>
        <w:t>latviešu diasporas ārvalstīs</w:t>
      </w:r>
      <w:r w:rsidR="00F06DBE" w:rsidRPr="00F31801">
        <w:rPr>
          <w:noProof/>
          <w:sz w:val="28"/>
          <w:szCs w:val="28"/>
          <w:lang w:bidi="yi-Hebr"/>
        </w:rPr>
        <w:t xml:space="preserve"> un ārvalstu viesu kolektīviem</w:t>
      </w:r>
      <w:r w:rsidR="009933F5" w:rsidRPr="00F31801">
        <w:rPr>
          <w:noProof/>
          <w:sz w:val="28"/>
          <w:szCs w:val="28"/>
          <w:lang w:bidi="yi-Hebr"/>
        </w:rPr>
        <w:t xml:space="preserve">. Latvijas 1610 māksliniecisko kolektīvu sagatavošanās procesu līdz Svētkiem un to </w:t>
      </w:r>
      <w:r w:rsidR="00F15A79" w:rsidRPr="00F31801">
        <w:rPr>
          <w:noProof/>
          <w:sz w:val="28"/>
          <w:szCs w:val="28"/>
          <w:lang w:bidi="yi-Hebr"/>
        </w:rPr>
        <w:t>līdzdalību</w:t>
      </w:r>
      <w:r w:rsidR="009933F5" w:rsidRPr="00F31801">
        <w:rPr>
          <w:noProof/>
          <w:sz w:val="28"/>
          <w:szCs w:val="28"/>
          <w:lang w:bidi="yi-Hebr"/>
        </w:rPr>
        <w:t xml:space="preserve"> Svētkos koordinēja un nodrošināja</w:t>
      </w:r>
      <w:r w:rsidR="00F06DBE" w:rsidRPr="00F31801">
        <w:rPr>
          <w:noProof/>
          <w:sz w:val="28"/>
          <w:szCs w:val="28"/>
          <w:lang w:bidi="yi-Hebr"/>
        </w:rPr>
        <w:t xml:space="preserve"> 117</w:t>
      </w:r>
      <w:r w:rsidRPr="00F31801">
        <w:rPr>
          <w:noProof/>
          <w:sz w:val="28"/>
          <w:szCs w:val="28"/>
          <w:lang w:bidi="yi-Hebr"/>
        </w:rPr>
        <w:t xml:space="preserve"> Latvijas pašvaldīb</w:t>
      </w:r>
      <w:r w:rsidR="009933F5" w:rsidRPr="00F31801">
        <w:rPr>
          <w:noProof/>
          <w:sz w:val="28"/>
          <w:szCs w:val="28"/>
          <w:lang w:bidi="yi-Hebr"/>
        </w:rPr>
        <w:t>as.</w:t>
      </w:r>
    </w:p>
    <w:p w:rsidR="007D5F48" w:rsidRDefault="007D5F48" w:rsidP="005B681A">
      <w:pPr>
        <w:overflowPunct/>
        <w:autoSpaceDE/>
        <w:autoSpaceDN/>
        <w:adjustRightInd/>
        <w:spacing w:after="0"/>
        <w:ind w:firstLine="0"/>
        <w:textAlignment w:val="auto"/>
        <w:rPr>
          <w:noProof/>
          <w:sz w:val="28"/>
          <w:szCs w:val="28"/>
          <w:lang w:bidi="yi-Hebr"/>
        </w:rPr>
      </w:pPr>
    </w:p>
    <w:p w:rsidR="009933F5" w:rsidRDefault="002625EA" w:rsidP="00A272D7">
      <w:pPr>
        <w:overflowPunct/>
        <w:autoSpaceDE/>
        <w:autoSpaceDN/>
        <w:adjustRightInd/>
        <w:spacing w:after="0"/>
        <w:textAlignment w:val="auto"/>
        <w:rPr>
          <w:noProof/>
          <w:sz w:val="28"/>
          <w:szCs w:val="28"/>
          <w:lang w:bidi="yi-Hebr"/>
        </w:rPr>
      </w:pPr>
      <w:r w:rsidRPr="00F31801">
        <w:rPr>
          <w:noProof/>
          <w:sz w:val="28"/>
          <w:szCs w:val="28"/>
          <w:lang w:bidi="yi-Hebr"/>
        </w:rPr>
        <w:t>Pamatojoties uz Dziesmu un deju svētku likum</w:t>
      </w:r>
      <w:r w:rsidR="009933F5" w:rsidRPr="00F31801">
        <w:rPr>
          <w:noProof/>
          <w:sz w:val="28"/>
          <w:szCs w:val="28"/>
          <w:lang w:bidi="yi-Hebr"/>
        </w:rPr>
        <w:t>a 9.panta pirmās daļas 1.punktu</w:t>
      </w:r>
      <w:r w:rsidR="00F15A79" w:rsidRPr="00F31801">
        <w:rPr>
          <w:noProof/>
          <w:sz w:val="28"/>
          <w:szCs w:val="28"/>
          <w:lang w:bidi="yi-Hebr"/>
        </w:rPr>
        <w:t>,</w:t>
      </w:r>
      <w:r w:rsidRPr="00F31801">
        <w:rPr>
          <w:noProof/>
          <w:sz w:val="28"/>
          <w:szCs w:val="28"/>
          <w:lang w:bidi="yi-Hebr"/>
        </w:rPr>
        <w:t xml:space="preserve"> no valsts budžeta </w:t>
      </w:r>
      <w:r w:rsidR="00F15A79" w:rsidRPr="00F31801">
        <w:rPr>
          <w:noProof/>
          <w:sz w:val="28"/>
          <w:szCs w:val="28"/>
          <w:lang w:bidi="yi-Hebr"/>
        </w:rPr>
        <w:t xml:space="preserve">tiek piešķirts finansējums Vispārējo latviešu dziesmu un deju svētku dalībnieku naktsmītņu un ēdināšanas izdevumu segšanai svētku laikā. </w:t>
      </w:r>
      <w:r w:rsidR="000E4BC8" w:rsidRPr="00F31801">
        <w:rPr>
          <w:noProof/>
          <w:sz w:val="28"/>
          <w:szCs w:val="28"/>
          <w:lang w:bidi="yi-Hebr"/>
        </w:rPr>
        <w:t xml:space="preserve">Saskaņā ar </w:t>
      </w:r>
      <w:r w:rsidR="00337F3A">
        <w:rPr>
          <w:noProof/>
          <w:sz w:val="28"/>
          <w:szCs w:val="28"/>
          <w:lang w:bidi="yi-Hebr"/>
        </w:rPr>
        <w:t>i</w:t>
      </w:r>
      <w:r w:rsidR="000E4BC8" w:rsidRPr="00F31801">
        <w:rPr>
          <w:noProof/>
          <w:sz w:val="28"/>
          <w:szCs w:val="28"/>
          <w:lang w:bidi="yi-Hebr"/>
        </w:rPr>
        <w:t>nformatīvo ziņojumu „Par XXV Vispārējo latviešu Dziesmu un XV Deju svētku sagatavoš</w:t>
      </w:r>
      <w:r w:rsidR="00C5222B" w:rsidRPr="00F31801">
        <w:rPr>
          <w:noProof/>
          <w:sz w:val="28"/>
          <w:szCs w:val="28"/>
          <w:lang w:bidi="yi-Hebr"/>
        </w:rPr>
        <w:t xml:space="preserve">anas un sarīkošanas budžetu”, </w:t>
      </w:r>
      <w:r w:rsidR="000E4BC8" w:rsidRPr="00F31801">
        <w:rPr>
          <w:noProof/>
          <w:sz w:val="28"/>
          <w:szCs w:val="28"/>
          <w:lang w:bidi="yi-Hebr"/>
        </w:rPr>
        <w:t>Ministru kabineta 2012.gada 10.jūlija sēdes protokolu Nr.39 4</w:t>
      </w:r>
      <w:r w:rsidR="00FA0EEF" w:rsidRPr="00F31801">
        <w:rPr>
          <w:noProof/>
          <w:sz w:val="28"/>
          <w:szCs w:val="28"/>
          <w:lang w:bidi="yi-Hebr"/>
        </w:rPr>
        <w:t>9</w:t>
      </w:r>
      <w:r w:rsidR="000E4BC8" w:rsidRPr="00F31801">
        <w:rPr>
          <w:noProof/>
          <w:sz w:val="28"/>
          <w:szCs w:val="28"/>
          <w:lang w:bidi="yi-Hebr"/>
        </w:rPr>
        <w:t xml:space="preserve">§ </w:t>
      </w:r>
      <w:r w:rsidR="00FA0EEF" w:rsidRPr="00F31801">
        <w:rPr>
          <w:noProof/>
          <w:sz w:val="28"/>
          <w:szCs w:val="28"/>
          <w:lang w:bidi="yi-Hebr"/>
        </w:rPr>
        <w:t>un likumu „Par valsts budžetu 2013.gadam”</w:t>
      </w:r>
      <w:r w:rsidR="00C5222B" w:rsidRPr="00F31801">
        <w:rPr>
          <w:noProof/>
          <w:sz w:val="28"/>
          <w:szCs w:val="28"/>
          <w:lang w:bidi="yi-Hebr"/>
        </w:rPr>
        <w:t>,</w:t>
      </w:r>
      <w:r w:rsidR="00FA0EEF" w:rsidRPr="00F31801">
        <w:rPr>
          <w:noProof/>
          <w:sz w:val="28"/>
          <w:szCs w:val="28"/>
          <w:lang w:bidi="yi-Hebr"/>
        </w:rPr>
        <w:t xml:space="preserve"> </w:t>
      </w:r>
      <w:r w:rsidR="009933F5" w:rsidRPr="00F31801">
        <w:rPr>
          <w:noProof/>
          <w:sz w:val="28"/>
          <w:szCs w:val="28"/>
          <w:lang w:bidi="yi-Hebr"/>
        </w:rPr>
        <w:t>S</w:t>
      </w:r>
      <w:r w:rsidRPr="00F31801">
        <w:rPr>
          <w:noProof/>
          <w:sz w:val="28"/>
          <w:szCs w:val="28"/>
          <w:lang w:bidi="yi-Hebr"/>
        </w:rPr>
        <w:t xml:space="preserve">vētku dalībnieku naktsmītņu un ēdināšanas </w:t>
      </w:r>
      <w:r w:rsidR="009933F5" w:rsidRPr="00F31801">
        <w:rPr>
          <w:noProof/>
          <w:sz w:val="28"/>
          <w:szCs w:val="28"/>
          <w:lang w:bidi="yi-Hebr"/>
        </w:rPr>
        <w:t>izdevumu segšanai Svētku laikā</w:t>
      </w:r>
      <w:r w:rsidR="00FA0EEF" w:rsidRPr="00F31801">
        <w:rPr>
          <w:noProof/>
          <w:lang w:bidi="yi-Hebr"/>
        </w:rPr>
        <w:t xml:space="preserve"> </w:t>
      </w:r>
      <w:r w:rsidR="00FA0EEF" w:rsidRPr="00F31801">
        <w:rPr>
          <w:noProof/>
          <w:sz w:val="28"/>
          <w:szCs w:val="28"/>
          <w:lang w:bidi="yi-Hebr"/>
        </w:rPr>
        <w:t xml:space="preserve">tika piešķirts </w:t>
      </w:r>
      <w:r w:rsidR="00FA0EEF" w:rsidRPr="00E20097">
        <w:rPr>
          <w:noProof/>
          <w:sz w:val="28"/>
          <w:szCs w:val="28"/>
          <w:lang w:bidi="yi-Hebr"/>
        </w:rPr>
        <w:t>finansējums 975</w:t>
      </w:r>
      <w:r w:rsidR="009A4DDC" w:rsidRPr="00E20097">
        <w:rPr>
          <w:noProof/>
          <w:sz w:val="28"/>
          <w:szCs w:val="28"/>
          <w:lang w:bidi="yi-Hebr"/>
        </w:rPr>
        <w:t xml:space="preserve"> </w:t>
      </w:r>
      <w:r w:rsidR="00FA0EEF" w:rsidRPr="00E20097">
        <w:rPr>
          <w:noProof/>
          <w:sz w:val="28"/>
          <w:szCs w:val="28"/>
          <w:lang w:bidi="yi-Hebr"/>
        </w:rPr>
        <w:t xml:space="preserve">000 </w:t>
      </w:r>
      <w:r w:rsidR="00A272D7" w:rsidRPr="00E20097">
        <w:rPr>
          <w:noProof/>
          <w:sz w:val="28"/>
          <w:szCs w:val="28"/>
          <w:lang w:bidi="yi-Hebr"/>
        </w:rPr>
        <w:t xml:space="preserve">LVL </w:t>
      </w:r>
      <w:r w:rsidR="00FA0EEF" w:rsidRPr="00E20097">
        <w:rPr>
          <w:noProof/>
          <w:sz w:val="28"/>
          <w:szCs w:val="28"/>
          <w:lang w:bidi="yi-Hebr"/>
        </w:rPr>
        <w:t>apmērā</w:t>
      </w:r>
      <w:r w:rsidR="009933F5" w:rsidRPr="00E20097">
        <w:rPr>
          <w:noProof/>
          <w:sz w:val="28"/>
          <w:szCs w:val="28"/>
          <w:lang w:bidi="yi-Hebr"/>
        </w:rPr>
        <w:t xml:space="preserve">. </w:t>
      </w:r>
      <w:r w:rsidR="009B5C31" w:rsidRPr="00E20097">
        <w:rPr>
          <w:noProof/>
          <w:sz w:val="28"/>
          <w:szCs w:val="28"/>
          <w:lang w:bidi="yi-Hebr"/>
        </w:rPr>
        <w:t>Nepieciešamais finansējuma apmērs</w:t>
      </w:r>
      <w:r w:rsidR="00D56F70" w:rsidRPr="00E20097">
        <w:rPr>
          <w:noProof/>
          <w:sz w:val="28"/>
          <w:szCs w:val="28"/>
          <w:lang w:bidi="yi-Hebr"/>
        </w:rPr>
        <w:t xml:space="preserve"> S</w:t>
      </w:r>
      <w:r w:rsidR="009B5C31" w:rsidRPr="00E20097">
        <w:rPr>
          <w:noProof/>
          <w:sz w:val="28"/>
          <w:szCs w:val="28"/>
          <w:lang w:bidi="yi-Hebr"/>
        </w:rPr>
        <w:t>vētku dalībnieku ēdināšanas un naktsmītņu izdevumiem tika aprēķināts</w:t>
      </w:r>
      <w:r w:rsidR="00337F3A">
        <w:rPr>
          <w:noProof/>
          <w:sz w:val="28"/>
          <w:szCs w:val="28"/>
          <w:lang w:bidi="yi-Hebr"/>
        </w:rPr>
        <w:t>,</w:t>
      </w:r>
      <w:r w:rsidR="009B5C31" w:rsidRPr="00E20097">
        <w:rPr>
          <w:noProof/>
          <w:sz w:val="28"/>
          <w:szCs w:val="28"/>
          <w:lang w:bidi="yi-Hebr"/>
        </w:rPr>
        <w:t xml:space="preserve"> ņemot vērā to, ka Svētkos piedalīsies 39</w:t>
      </w:r>
      <w:r w:rsidR="009A4DDC" w:rsidRPr="00E20097">
        <w:rPr>
          <w:noProof/>
          <w:sz w:val="28"/>
          <w:szCs w:val="28"/>
          <w:lang w:bidi="yi-Hebr"/>
        </w:rPr>
        <w:t xml:space="preserve"> </w:t>
      </w:r>
      <w:r w:rsidR="009B5C31" w:rsidRPr="00E20097">
        <w:rPr>
          <w:noProof/>
          <w:sz w:val="28"/>
          <w:szCs w:val="28"/>
          <w:lang w:bidi="yi-Hebr"/>
        </w:rPr>
        <w:t>000 dalībnieku</w:t>
      </w:r>
      <w:r w:rsidR="00D56F70" w:rsidRPr="00E20097">
        <w:rPr>
          <w:noProof/>
          <w:sz w:val="28"/>
          <w:szCs w:val="28"/>
          <w:lang w:bidi="yi-Hebr"/>
        </w:rPr>
        <w:t xml:space="preserve"> (plānotais dalībnieku skaits)</w:t>
      </w:r>
      <w:r w:rsidR="009B5C31" w:rsidRPr="00E20097">
        <w:rPr>
          <w:noProof/>
          <w:sz w:val="28"/>
          <w:szCs w:val="28"/>
          <w:lang w:bidi="yi-Hebr"/>
        </w:rPr>
        <w:t xml:space="preserve">, viens dalībnieks svētkos vidēji uzturas 5 dienas, izmaksas dienā </w:t>
      </w:r>
      <w:r w:rsidR="00D56F70" w:rsidRPr="00E20097">
        <w:rPr>
          <w:noProof/>
          <w:sz w:val="28"/>
          <w:szCs w:val="28"/>
          <w:lang w:bidi="yi-Hebr"/>
        </w:rPr>
        <w:t xml:space="preserve">tika noteiktas </w:t>
      </w:r>
      <w:r w:rsidR="009B5C31" w:rsidRPr="00E20097">
        <w:rPr>
          <w:noProof/>
          <w:sz w:val="28"/>
          <w:szCs w:val="28"/>
          <w:lang w:bidi="yi-Hebr"/>
        </w:rPr>
        <w:t>5</w:t>
      </w:r>
      <w:r w:rsidR="00A272D7" w:rsidRPr="00E20097">
        <w:rPr>
          <w:noProof/>
          <w:sz w:val="28"/>
          <w:szCs w:val="28"/>
          <w:lang w:bidi="yi-Hebr"/>
        </w:rPr>
        <w:t xml:space="preserve"> LVL</w:t>
      </w:r>
      <w:r w:rsidR="009B5C31" w:rsidRPr="00E20097">
        <w:rPr>
          <w:noProof/>
          <w:sz w:val="28"/>
          <w:szCs w:val="28"/>
          <w:lang w:bidi="yi-Hebr"/>
        </w:rPr>
        <w:t>.</w:t>
      </w:r>
    </w:p>
    <w:p w:rsidR="007B51E7" w:rsidRDefault="007B51E7" w:rsidP="007B51E7">
      <w:pPr>
        <w:overflowPunct/>
        <w:autoSpaceDE/>
        <w:autoSpaceDN/>
        <w:adjustRightInd/>
        <w:ind w:firstLine="709"/>
        <w:jc w:val="right"/>
        <w:textAlignment w:val="auto"/>
        <w:rPr>
          <w:noProof/>
          <w:sz w:val="28"/>
          <w:szCs w:val="28"/>
          <w:lang w:bidi="yi-Hebr"/>
        </w:rPr>
      </w:pPr>
      <w:r>
        <w:rPr>
          <w:noProof/>
          <w:sz w:val="28"/>
          <w:szCs w:val="28"/>
          <w:lang w:bidi="yi-Hebr"/>
        </w:rPr>
        <w:t>1.1.tabula</w:t>
      </w:r>
    </w:p>
    <w:p w:rsidR="007B51E7" w:rsidRPr="00E20097" w:rsidRDefault="007B51E7" w:rsidP="007B51E7">
      <w:pPr>
        <w:overflowPunct/>
        <w:autoSpaceDE/>
        <w:autoSpaceDN/>
        <w:adjustRightInd/>
        <w:ind w:firstLine="709"/>
        <w:jc w:val="center"/>
        <w:textAlignment w:val="auto"/>
        <w:rPr>
          <w:noProof/>
          <w:sz w:val="28"/>
          <w:szCs w:val="28"/>
          <w:lang w:bidi="yi-Hebr"/>
        </w:rPr>
      </w:pPr>
      <w:r>
        <w:rPr>
          <w:noProof/>
          <w:sz w:val="28"/>
          <w:szCs w:val="28"/>
          <w:lang w:bidi="yi-Hebr"/>
        </w:rPr>
        <w:t>Piešķirtais finansējums</w:t>
      </w:r>
      <w:r w:rsidRPr="00320BA5">
        <w:rPr>
          <w:noProof/>
          <w:sz w:val="28"/>
          <w:szCs w:val="28"/>
          <w:lang w:bidi="yi-Hebr"/>
        </w:rPr>
        <w:t xml:space="preserve"> XXV Vispārējo latviešu Dziesmu un XV Deju svētku</w:t>
      </w:r>
      <w:r>
        <w:rPr>
          <w:noProof/>
          <w:sz w:val="28"/>
          <w:szCs w:val="28"/>
          <w:lang w:bidi="yi-Hebr"/>
        </w:rPr>
        <w:t xml:space="preserve"> nodrošināšanai</w:t>
      </w:r>
    </w:p>
    <w:tbl>
      <w:tblPr>
        <w:tblW w:w="9215" w:type="dxa"/>
        <w:tblLook w:val="04A0" w:firstRow="1" w:lastRow="0" w:firstColumn="1" w:lastColumn="0" w:noHBand="0" w:noVBand="1"/>
      </w:tblPr>
      <w:tblGrid>
        <w:gridCol w:w="1848"/>
        <w:gridCol w:w="1701"/>
        <w:gridCol w:w="1500"/>
        <w:gridCol w:w="1487"/>
        <w:gridCol w:w="1262"/>
        <w:gridCol w:w="1426"/>
      </w:tblGrid>
      <w:tr w:rsidR="007B51E7" w:rsidRPr="007D5F48" w:rsidTr="00337F3A">
        <w:trPr>
          <w:trHeight w:val="12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1E7" w:rsidRPr="008A0728" w:rsidRDefault="007B51E7" w:rsidP="00337F3A">
            <w:pPr>
              <w:overflowPunct/>
              <w:autoSpaceDE/>
              <w:autoSpaceDN/>
              <w:adjustRightInd/>
              <w:spacing w:after="0"/>
              <w:ind w:firstLine="0"/>
              <w:jc w:val="left"/>
              <w:textAlignment w:val="auto"/>
              <w:rPr>
                <w:b/>
                <w:color w:val="000000"/>
                <w:sz w:val="28"/>
                <w:szCs w:val="28"/>
                <w:lang w:bidi="yi-Hebr"/>
              </w:rPr>
            </w:pPr>
            <w:r w:rsidRPr="008A0728">
              <w:rPr>
                <w:b/>
                <w:color w:val="000000"/>
                <w:sz w:val="28"/>
                <w:szCs w:val="28"/>
                <w:lang w:bidi="yi-Heb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51E7" w:rsidRPr="008A0728" w:rsidRDefault="007B51E7" w:rsidP="00337F3A">
            <w:pPr>
              <w:overflowPunct/>
              <w:autoSpaceDE/>
              <w:autoSpaceDN/>
              <w:adjustRightInd/>
              <w:spacing w:after="0"/>
              <w:ind w:firstLine="0"/>
              <w:jc w:val="center"/>
              <w:textAlignment w:val="auto"/>
              <w:rPr>
                <w:b/>
                <w:szCs w:val="22"/>
                <w:lang w:bidi="yi-Hebr"/>
              </w:rPr>
            </w:pPr>
            <w:r w:rsidRPr="008A0728">
              <w:rPr>
                <w:b/>
                <w:sz w:val="22"/>
                <w:szCs w:val="22"/>
                <w:lang w:bidi="yi-Hebr"/>
              </w:rPr>
              <w:t>Izdevumu tāmes kopsumma apstiprināts MK 11.07.2012.</w:t>
            </w:r>
          </w:p>
          <w:p w:rsidR="007B51E7" w:rsidRPr="008A0728" w:rsidRDefault="007B51E7" w:rsidP="00337F3A">
            <w:pPr>
              <w:overflowPunct/>
              <w:autoSpaceDE/>
              <w:autoSpaceDN/>
              <w:adjustRightInd/>
              <w:spacing w:after="0"/>
              <w:ind w:firstLine="0"/>
              <w:jc w:val="center"/>
              <w:textAlignment w:val="auto"/>
              <w:rPr>
                <w:b/>
                <w:szCs w:val="22"/>
                <w:lang w:bidi="yi-Hebr"/>
              </w:rPr>
            </w:pPr>
            <w:r w:rsidRPr="008A0728">
              <w:rPr>
                <w:b/>
                <w:sz w:val="22"/>
                <w:szCs w:val="22"/>
                <w:lang w:bidi="yi-Hebr"/>
              </w:rPr>
              <w:t>(LVL)</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B51E7" w:rsidRPr="008A0728" w:rsidRDefault="007B51E7" w:rsidP="00337F3A">
            <w:pPr>
              <w:overflowPunct/>
              <w:autoSpaceDE/>
              <w:autoSpaceDN/>
              <w:adjustRightInd/>
              <w:spacing w:after="0"/>
              <w:ind w:firstLine="0"/>
              <w:jc w:val="center"/>
              <w:textAlignment w:val="auto"/>
              <w:rPr>
                <w:b/>
                <w:szCs w:val="22"/>
                <w:lang w:bidi="yi-Hebr"/>
              </w:rPr>
            </w:pPr>
            <w:r w:rsidRPr="008A0728">
              <w:rPr>
                <w:b/>
                <w:sz w:val="22"/>
                <w:szCs w:val="22"/>
                <w:lang w:bidi="yi-Hebr"/>
              </w:rPr>
              <w:t xml:space="preserve">Valsts budžeta dotācija (LVL) </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7B51E7" w:rsidRPr="008A0728" w:rsidRDefault="007B51E7" w:rsidP="00337F3A">
            <w:pPr>
              <w:overflowPunct/>
              <w:autoSpaceDE/>
              <w:autoSpaceDN/>
              <w:adjustRightInd/>
              <w:spacing w:after="0"/>
              <w:ind w:firstLine="0"/>
              <w:jc w:val="center"/>
              <w:textAlignment w:val="auto"/>
              <w:rPr>
                <w:b/>
                <w:szCs w:val="22"/>
                <w:lang w:bidi="yi-Hebr"/>
              </w:rPr>
            </w:pPr>
            <w:r w:rsidRPr="008A0728">
              <w:rPr>
                <w:b/>
                <w:sz w:val="22"/>
                <w:szCs w:val="22"/>
                <w:lang w:bidi="yi-Hebr"/>
              </w:rPr>
              <w:t xml:space="preserve">Pašu ieņēmumi (LVL)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7B51E7" w:rsidRPr="008A0728" w:rsidRDefault="007B51E7" w:rsidP="00337F3A">
            <w:pPr>
              <w:overflowPunct/>
              <w:autoSpaceDE/>
              <w:autoSpaceDN/>
              <w:adjustRightInd/>
              <w:spacing w:after="0"/>
              <w:ind w:firstLine="0"/>
              <w:jc w:val="center"/>
              <w:textAlignment w:val="auto"/>
              <w:rPr>
                <w:b/>
                <w:szCs w:val="22"/>
                <w:lang w:bidi="yi-Hebr"/>
              </w:rPr>
            </w:pPr>
            <w:r w:rsidRPr="008A0728">
              <w:rPr>
                <w:b/>
                <w:sz w:val="22"/>
                <w:szCs w:val="22"/>
                <w:lang w:bidi="yi-Hebr"/>
              </w:rPr>
              <w:t>Ziedojumi kopā 2012.gadā un 2013.gadā (LVL)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51E7" w:rsidRPr="008A0728" w:rsidRDefault="007B51E7" w:rsidP="00337F3A">
            <w:pPr>
              <w:overflowPunct/>
              <w:autoSpaceDE/>
              <w:autoSpaceDN/>
              <w:adjustRightInd/>
              <w:spacing w:after="0"/>
              <w:ind w:firstLine="0"/>
              <w:jc w:val="center"/>
              <w:textAlignment w:val="auto"/>
              <w:rPr>
                <w:b/>
                <w:szCs w:val="22"/>
                <w:lang w:bidi="yi-Hebr"/>
              </w:rPr>
            </w:pPr>
            <w:r w:rsidRPr="008A0728">
              <w:rPr>
                <w:b/>
                <w:sz w:val="22"/>
                <w:szCs w:val="22"/>
                <w:lang w:bidi="yi-Hebr"/>
              </w:rPr>
              <w:t xml:space="preserve">Precizēts svētku budžets ar plānotajiem papildus ziedojumiem un ieņēmumiem (LVL)  </w:t>
            </w:r>
          </w:p>
        </w:tc>
      </w:tr>
      <w:tr w:rsidR="007B51E7" w:rsidRPr="007D5F48" w:rsidTr="00337F3A">
        <w:trPr>
          <w:trHeight w:val="37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7B51E7" w:rsidRPr="008A0728" w:rsidRDefault="007B51E7" w:rsidP="00337F3A">
            <w:pPr>
              <w:overflowPunct/>
              <w:autoSpaceDE/>
              <w:autoSpaceDN/>
              <w:adjustRightInd/>
              <w:spacing w:after="0"/>
              <w:ind w:firstLine="0"/>
              <w:jc w:val="left"/>
              <w:textAlignment w:val="auto"/>
              <w:rPr>
                <w:b/>
                <w:color w:val="000000"/>
                <w:szCs w:val="22"/>
                <w:lang w:bidi="yi-Hebr"/>
              </w:rPr>
            </w:pPr>
            <w:r w:rsidRPr="008A0728">
              <w:rPr>
                <w:b/>
                <w:color w:val="000000"/>
                <w:sz w:val="22"/>
                <w:szCs w:val="22"/>
                <w:lang w:bidi="yi-Hebr"/>
              </w:rPr>
              <w:t>Ieņēmumi kopā</w:t>
            </w:r>
          </w:p>
        </w:tc>
        <w:tc>
          <w:tcPr>
            <w:tcW w:w="1701" w:type="dxa"/>
            <w:tcBorders>
              <w:top w:val="nil"/>
              <w:left w:val="nil"/>
              <w:bottom w:val="single" w:sz="4" w:space="0" w:color="auto"/>
              <w:right w:val="single" w:sz="4" w:space="0" w:color="auto"/>
            </w:tcBorders>
            <w:shd w:val="clear" w:color="auto" w:fill="auto"/>
            <w:noWrap/>
            <w:vAlign w:val="bottom"/>
            <w:hideMark/>
          </w:tcPr>
          <w:p w:rsidR="007B51E7" w:rsidRPr="002C6B7D" w:rsidRDefault="007B51E7" w:rsidP="00337F3A">
            <w:pPr>
              <w:overflowPunct/>
              <w:autoSpaceDE/>
              <w:autoSpaceDN/>
              <w:adjustRightInd/>
              <w:spacing w:after="0"/>
              <w:ind w:firstLine="0"/>
              <w:jc w:val="right"/>
              <w:textAlignment w:val="auto"/>
              <w:rPr>
                <w:color w:val="000000"/>
                <w:sz w:val="28"/>
                <w:szCs w:val="28"/>
                <w:lang w:bidi="yi-Hebr"/>
              </w:rPr>
            </w:pPr>
            <w:r w:rsidRPr="002C6B7D">
              <w:rPr>
                <w:color w:val="000000"/>
                <w:sz w:val="28"/>
                <w:szCs w:val="28"/>
                <w:lang w:bidi="yi-Hebr"/>
              </w:rPr>
              <w:t>2 986 387</w:t>
            </w:r>
          </w:p>
        </w:tc>
        <w:tc>
          <w:tcPr>
            <w:tcW w:w="1500"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2</w:t>
            </w:r>
            <w:r>
              <w:rPr>
                <w:color w:val="000000"/>
                <w:sz w:val="28"/>
                <w:szCs w:val="28"/>
                <w:lang w:bidi="yi-Hebr"/>
              </w:rPr>
              <w:t xml:space="preserve"> </w:t>
            </w:r>
            <w:r w:rsidRPr="007D5F48">
              <w:rPr>
                <w:color w:val="000000"/>
                <w:sz w:val="28"/>
                <w:szCs w:val="28"/>
                <w:lang w:bidi="yi-Hebr"/>
              </w:rPr>
              <w:t>431</w:t>
            </w:r>
            <w:r>
              <w:rPr>
                <w:color w:val="000000"/>
                <w:sz w:val="28"/>
                <w:szCs w:val="28"/>
                <w:lang w:bidi="yi-Hebr"/>
              </w:rPr>
              <w:t xml:space="preserve"> </w:t>
            </w:r>
            <w:r w:rsidRPr="007D5F48">
              <w:rPr>
                <w:color w:val="000000"/>
                <w:sz w:val="28"/>
                <w:szCs w:val="28"/>
                <w:lang w:bidi="yi-Hebr"/>
              </w:rPr>
              <w:t>720</w:t>
            </w:r>
          </w:p>
        </w:tc>
        <w:tc>
          <w:tcPr>
            <w:tcW w:w="1487"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sz w:val="28"/>
                <w:szCs w:val="28"/>
                <w:lang w:bidi="yi-Hebr"/>
              </w:rPr>
            </w:pPr>
            <w:r w:rsidRPr="007D5F48">
              <w:rPr>
                <w:sz w:val="28"/>
                <w:szCs w:val="28"/>
                <w:lang w:bidi="yi-Hebr"/>
              </w:rPr>
              <w:t>554</w:t>
            </w:r>
            <w:r>
              <w:rPr>
                <w:sz w:val="28"/>
                <w:szCs w:val="28"/>
                <w:lang w:bidi="yi-Hebr"/>
              </w:rPr>
              <w:t xml:space="preserve"> </w:t>
            </w:r>
            <w:r w:rsidRPr="007D5F48">
              <w:rPr>
                <w:sz w:val="28"/>
                <w:szCs w:val="28"/>
                <w:lang w:bidi="yi-Hebr"/>
              </w:rPr>
              <w:t>667</w:t>
            </w:r>
          </w:p>
        </w:tc>
        <w:tc>
          <w:tcPr>
            <w:tcW w:w="1262"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sz w:val="28"/>
                <w:szCs w:val="28"/>
                <w:lang w:bidi="yi-Hebr"/>
              </w:rPr>
            </w:pPr>
            <w:r w:rsidRPr="007D5F48">
              <w:rPr>
                <w:sz w:val="28"/>
                <w:szCs w:val="28"/>
                <w:lang w:bidi="yi-Hebr"/>
              </w:rPr>
              <w:t>585</w:t>
            </w:r>
            <w:r>
              <w:rPr>
                <w:sz w:val="28"/>
                <w:szCs w:val="28"/>
                <w:lang w:bidi="yi-Hebr"/>
              </w:rPr>
              <w:t xml:space="preserve"> </w:t>
            </w:r>
            <w:r w:rsidRPr="007D5F48">
              <w:rPr>
                <w:sz w:val="28"/>
                <w:szCs w:val="28"/>
                <w:lang w:bidi="yi-Hebr"/>
              </w:rPr>
              <w:t>478</w:t>
            </w:r>
          </w:p>
        </w:tc>
        <w:tc>
          <w:tcPr>
            <w:tcW w:w="1417"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sz w:val="28"/>
                <w:szCs w:val="28"/>
                <w:lang w:bidi="yi-Hebr"/>
              </w:rPr>
            </w:pPr>
            <w:r w:rsidRPr="007D5F48">
              <w:rPr>
                <w:sz w:val="28"/>
                <w:szCs w:val="28"/>
                <w:lang w:bidi="yi-Hebr"/>
              </w:rPr>
              <w:t>3</w:t>
            </w:r>
            <w:r>
              <w:rPr>
                <w:sz w:val="28"/>
                <w:szCs w:val="28"/>
                <w:lang w:bidi="yi-Hebr"/>
              </w:rPr>
              <w:t xml:space="preserve"> </w:t>
            </w:r>
            <w:r w:rsidRPr="007D5F48">
              <w:rPr>
                <w:sz w:val="28"/>
                <w:szCs w:val="28"/>
                <w:lang w:bidi="yi-Hebr"/>
              </w:rPr>
              <w:t>571</w:t>
            </w:r>
            <w:r>
              <w:rPr>
                <w:sz w:val="28"/>
                <w:szCs w:val="28"/>
                <w:lang w:bidi="yi-Hebr"/>
              </w:rPr>
              <w:t xml:space="preserve"> </w:t>
            </w:r>
            <w:r w:rsidRPr="007D5F48">
              <w:rPr>
                <w:sz w:val="28"/>
                <w:szCs w:val="28"/>
                <w:lang w:bidi="yi-Hebr"/>
              </w:rPr>
              <w:t>865</w:t>
            </w:r>
          </w:p>
        </w:tc>
      </w:tr>
      <w:tr w:rsidR="007B51E7" w:rsidRPr="007D5F48" w:rsidTr="00337F3A">
        <w:trPr>
          <w:trHeight w:val="37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7B51E7" w:rsidRPr="008A0728" w:rsidRDefault="007B51E7" w:rsidP="00337F3A">
            <w:pPr>
              <w:overflowPunct/>
              <w:autoSpaceDE/>
              <w:autoSpaceDN/>
              <w:adjustRightInd/>
              <w:spacing w:after="0"/>
              <w:ind w:firstLine="0"/>
              <w:jc w:val="left"/>
              <w:textAlignment w:val="auto"/>
              <w:rPr>
                <w:b/>
                <w:color w:val="000000"/>
                <w:szCs w:val="22"/>
                <w:lang w:bidi="yi-Hebr"/>
              </w:rPr>
            </w:pPr>
            <w:r w:rsidRPr="008A0728">
              <w:rPr>
                <w:b/>
                <w:color w:val="000000"/>
                <w:sz w:val="22"/>
                <w:szCs w:val="22"/>
                <w:lang w:bidi="yi-Hebr"/>
              </w:rPr>
              <w:t>Izdevumi kopā</w:t>
            </w:r>
          </w:p>
        </w:tc>
        <w:tc>
          <w:tcPr>
            <w:tcW w:w="1701" w:type="dxa"/>
            <w:tcBorders>
              <w:top w:val="nil"/>
              <w:left w:val="nil"/>
              <w:bottom w:val="single" w:sz="4" w:space="0" w:color="auto"/>
              <w:right w:val="single" w:sz="4" w:space="0" w:color="auto"/>
            </w:tcBorders>
            <w:shd w:val="clear" w:color="auto" w:fill="auto"/>
            <w:noWrap/>
            <w:vAlign w:val="bottom"/>
            <w:hideMark/>
          </w:tcPr>
          <w:p w:rsidR="007B51E7" w:rsidRPr="002C6B7D" w:rsidRDefault="007B51E7" w:rsidP="00337F3A">
            <w:pPr>
              <w:overflowPunct/>
              <w:autoSpaceDE/>
              <w:autoSpaceDN/>
              <w:adjustRightInd/>
              <w:spacing w:after="0"/>
              <w:ind w:firstLine="0"/>
              <w:jc w:val="right"/>
              <w:textAlignment w:val="auto"/>
              <w:rPr>
                <w:color w:val="FF0000"/>
                <w:sz w:val="28"/>
                <w:szCs w:val="28"/>
                <w:lang w:bidi="yi-Hebr"/>
              </w:rPr>
            </w:pPr>
            <w:r w:rsidRPr="002C6B7D">
              <w:rPr>
                <w:sz w:val="28"/>
                <w:szCs w:val="28"/>
                <w:lang w:bidi="yi-Hebr"/>
              </w:rPr>
              <w:t>2846230</w:t>
            </w:r>
          </w:p>
        </w:tc>
        <w:tc>
          <w:tcPr>
            <w:tcW w:w="1500"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2</w:t>
            </w:r>
            <w:r>
              <w:rPr>
                <w:color w:val="000000"/>
                <w:sz w:val="28"/>
                <w:szCs w:val="28"/>
                <w:lang w:bidi="yi-Hebr"/>
              </w:rPr>
              <w:t xml:space="preserve"> </w:t>
            </w:r>
            <w:r w:rsidRPr="007D5F48">
              <w:rPr>
                <w:color w:val="000000"/>
                <w:sz w:val="28"/>
                <w:szCs w:val="28"/>
                <w:lang w:bidi="yi-Hebr"/>
              </w:rPr>
              <w:t>291</w:t>
            </w:r>
            <w:r>
              <w:rPr>
                <w:color w:val="000000"/>
                <w:sz w:val="28"/>
                <w:szCs w:val="28"/>
                <w:lang w:bidi="yi-Hebr"/>
              </w:rPr>
              <w:t xml:space="preserve"> </w:t>
            </w:r>
            <w:r w:rsidRPr="007D5F48">
              <w:rPr>
                <w:color w:val="000000"/>
                <w:sz w:val="28"/>
                <w:szCs w:val="28"/>
                <w:lang w:bidi="yi-Hebr"/>
              </w:rPr>
              <w:t>563</w:t>
            </w:r>
          </w:p>
        </w:tc>
        <w:tc>
          <w:tcPr>
            <w:tcW w:w="1487"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554</w:t>
            </w:r>
            <w:r>
              <w:rPr>
                <w:color w:val="000000"/>
                <w:sz w:val="28"/>
                <w:szCs w:val="28"/>
                <w:lang w:bidi="yi-Hebr"/>
              </w:rPr>
              <w:t xml:space="preserve"> </w:t>
            </w:r>
            <w:r w:rsidRPr="007D5F48">
              <w:rPr>
                <w:color w:val="000000"/>
                <w:sz w:val="28"/>
                <w:szCs w:val="28"/>
                <w:lang w:bidi="yi-Hebr"/>
              </w:rPr>
              <w:t>667</w:t>
            </w:r>
          </w:p>
        </w:tc>
        <w:tc>
          <w:tcPr>
            <w:tcW w:w="1262"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585</w:t>
            </w:r>
            <w:r>
              <w:rPr>
                <w:color w:val="000000"/>
                <w:sz w:val="28"/>
                <w:szCs w:val="28"/>
                <w:lang w:bidi="yi-Hebr"/>
              </w:rPr>
              <w:t xml:space="preserve"> </w:t>
            </w:r>
            <w:r w:rsidRPr="007D5F48">
              <w:rPr>
                <w:color w:val="000000"/>
                <w:sz w:val="28"/>
                <w:szCs w:val="28"/>
                <w:lang w:bidi="yi-Hebr"/>
              </w:rPr>
              <w:t>478</w:t>
            </w:r>
          </w:p>
        </w:tc>
        <w:tc>
          <w:tcPr>
            <w:tcW w:w="1417"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3</w:t>
            </w:r>
            <w:r>
              <w:rPr>
                <w:color w:val="000000"/>
                <w:sz w:val="28"/>
                <w:szCs w:val="28"/>
                <w:lang w:bidi="yi-Hebr"/>
              </w:rPr>
              <w:t xml:space="preserve"> </w:t>
            </w:r>
            <w:r w:rsidRPr="007D5F48">
              <w:rPr>
                <w:color w:val="000000"/>
                <w:sz w:val="28"/>
                <w:szCs w:val="28"/>
                <w:lang w:bidi="yi-Hebr"/>
              </w:rPr>
              <w:t>431</w:t>
            </w:r>
            <w:r>
              <w:rPr>
                <w:color w:val="000000"/>
                <w:sz w:val="28"/>
                <w:szCs w:val="28"/>
                <w:lang w:bidi="yi-Hebr"/>
              </w:rPr>
              <w:t xml:space="preserve"> </w:t>
            </w:r>
            <w:r w:rsidRPr="007D5F48">
              <w:rPr>
                <w:color w:val="000000"/>
                <w:sz w:val="28"/>
                <w:szCs w:val="28"/>
                <w:lang w:bidi="yi-Hebr"/>
              </w:rPr>
              <w:t>708</w:t>
            </w:r>
          </w:p>
        </w:tc>
      </w:tr>
      <w:tr w:rsidR="007B51E7" w:rsidRPr="007D5F48" w:rsidTr="00337F3A">
        <w:trPr>
          <w:trHeight w:val="37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7B51E7" w:rsidRPr="008A0728" w:rsidRDefault="007B51E7" w:rsidP="00337F3A">
            <w:pPr>
              <w:overflowPunct/>
              <w:autoSpaceDE/>
              <w:autoSpaceDN/>
              <w:adjustRightInd/>
              <w:spacing w:after="0"/>
              <w:ind w:firstLine="0"/>
              <w:jc w:val="left"/>
              <w:textAlignment w:val="auto"/>
              <w:rPr>
                <w:b/>
                <w:color w:val="000000"/>
                <w:szCs w:val="22"/>
                <w:lang w:bidi="yi-Hebr"/>
              </w:rPr>
            </w:pPr>
            <w:r w:rsidRPr="008A0728">
              <w:rPr>
                <w:b/>
                <w:color w:val="000000"/>
                <w:sz w:val="22"/>
                <w:szCs w:val="22"/>
                <w:lang w:bidi="yi-Hebr"/>
              </w:rPr>
              <w:t>Atlikums</w:t>
            </w:r>
          </w:p>
        </w:tc>
        <w:tc>
          <w:tcPr>
            <w:tcW w:w="1701" w:type="dxa"/>
            <w:tcBorders>
              <w:top w:val="nil"/>
              <w:left w:val="nil"/>
              <w:bottom w:val="single" w:sz="4" w:space="0" w:color="auto"/>
              <w:right w:val="single" w:sz="4" w:space="0" w:color="auto"/>
            </w:tcBorders>
            <w:shd w:val="clear" w:color="auto" w:fill="auto"/>
            <w:noWrap/>
            <w:vAlign w:val="bottom"/>
            <w:hideMark/>
          </w:tcPr>
          <w:p w:rsidR="007B51E7" w:rsidRPr="002C6B7D" w:rsidRDefault="007B51E7" w:rsidP="00337F3A">
            <w:pPr>
              <w:overflowPunct/>
              <w:autoSpaceDE/>
              <w:autoSpaceDN/>
              <w:adjustRightInd/>
              <w:spacing w:after="0"/>
              <w:ind w:firstLine="0"/>
              <w:jc w:val="right"/>
              <w:textAlignment w:val="auto"/>
              <w:rPr>
                <w:color w:val="FF0000"/>
                <w:sz w:val="28"/>
                <w:szCs w:val="28"/>
                <w:lang w:bidi="yi-Hebr"/>
              </w:rPr>
            </w:pPr>
            <w:r w:rsidRPr="002C6B7D">
              <w:rPr>
                <w:sz w:val="28"/>
                <w:szCs w:val="28"/>
                <w:lang w:bidi="yi-Hebr"/>
              </w:rPr>
              <w:t>140157</w:t>
            </w:r>
          </w:p>
        </w:tc>
        <w:tc>
          <w:tcPr>
            <w:tcW w:w="1500"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140</w:t>
            </w:r>
            <w:r>
              <w:rPr>
                <w:color w:val="000000"/>
                <w:sz w:val="28"/>
                <w:szCs w:val="28"/>
                <w:lang w:bidi="yi-Hebr"/>
              </w:rPr>
              <w:t xml:space="preserve"> </w:t>
            </w:r>
            <w:r w:rsidRPr="007D5F48">
              <w:rPr>
                <w:color w:val="000000"/>
                <w:sz w:val="28"/>
                <w:szCs w:val="28"/>
                <w:lang w:bidi="yi-Hebr"/>
              </w:rPr>
              <w:t>157</w:t>
            </w:r>
          </w:p>
        </w:tc>
        <w:tc>
          <w:tcPr>
            <w:tcW w:w="1487"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Pr>
                <w:color w:val="000000"/>
                <w:sz w:val="28"/>
                <w:szCs w:val="28"/>
                <w:lang w:bidi="yi-Hebr"/>
              </w:rPr>
              <w:t>0</w:t>
            </w:r>
          </w:p>
        </w:tc>
        <w:tc>
          <w:tcPr>
            <w:tcW w:w="1262"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0</w:t>
            </w:r>
          </w:p>
        </w:tc>
        <w:tc>
          <w:tcPr>
            <w:tcW w:w="1417" w:type="dxa"/>
            <w:tcBorders>
              <w:top w:val="nil"/>
              <w:left w:val="nil"/>
              <w:bottom w:val="single" w:sz="4" w:space="0" w:color="auto"/>
              <w:right w:val="single" w:sz="4" w:space="0" w:color="auto"/>
            </w:tcBorders>
            <w:shd w:val="clear" w:color="auto" w:fill="auto"/>
            <w:noWrap/>
            <w:vAlign w:val="bottom"/>
            <w:hideMark/>
          </w:tcPr>
          <w:p w:rsidR="007B51E7" w:rsidRPr="007D5F48" w:rsidRDefault="007B51E7" w:rsidP="00337F3A">
            <w:pPr>
              <w:overflowPunct/>
              <w:autoSpaceDE/>
              <w:autoSpaceDN/>
              <w:adjustRightInd/>
              <w:spacing w:after="0"/>
              <w:ind w:firstLine="0"/>
              <w:jc w:val="right"/>
              <w:textAlignment w:val="auto"/>
              <w:rPr>
                <w:color w:val="000000"/>
                <w:sz w:val="28"/>
                <w:szCs w:val="28"/>
                <w:lang w:bidi="yi-Hebr"/>
              </w:rPr>
            </w:pPr>
            <w:r w:rsidRPr="007D5F48">
              <w:rPr>
                <w:color w:val="000000"/>
                <w:sz w:val="28"/>
                <w:szCs w:val="28"/>
                <w:lang w:bidi="yi-Hebr"/>
              </w:rPr>
              <w:t>140</w:t>
            </w:r>
            <w:r>
              <w:rPr>
                <w:color w:val="000000"/>
                <w:sz w:val="28"/>
                <w:szCs w:val="28"/>
                <w:lang w:bidi="yi-Hebr"/>
              </w:rPr>
              <w:t xml:space="preserve"> </w:t>
            </w:r>
            <w:r w:rsidRPr="007D5F48">
              <w:rPr>
                <w:color w:val="000000"/>
                <w:sz w:val="28"/>
                <w:szCs w:val="28"/>
                <w:lang w:bidi="yi-Hebr"/>
              </w:rPr>
              <w:t>157</w:t>
            </w:r>
          </w:p>
        </w:tc>
      </w:tr>
    </w:tbl>
    <w:p w:rsidR="007B51E7" w:rsidRPr="00E20097" w:rsidRDefault="007B51E7" w:rsidP="00A272D7">
      <w:pPr>
        <w:overflowPunct/>
        <w:autoSpaceDE/>
        <w:autoSpaceDN/>
        <w:adjustRightInd/>
        <w:spacing w:after="0"/>
        <w:textAlignment w:val="auto"/>
        <w:rPr>
          <w:noProof/>
          <w:sz w:val="28"/>
          <w:szCs w:val="28"/>
          <w:lang w:bidi="yi-Hebr"/>
        </w:rPr>
      </w:pPr>
    </w:p>
    <w:p w:rsidR="000351BA" w:rsidRPr="002C6B7D" w:rsidRDefault="009A4DDC" w:rsidP="000351BA">
      <w:pPr>
        <w:rPr>
          <w:noProof/>
          <w:sz w:val="28"/>
          <w:szCs w:val="28"/>
          <w:lang w:bidi="yi-Hebr"/>
        </w:rPr>
      </w:pPr>
      <w:r w:rsidRPr="002C6B7D">
        <w:rPr>
          <w:noProof/>
          <w:sz w:val="28"/>
          <w:szCs w:val="28"/>
          <w:lang w:bidi="yi-Hebr"/>
        </w:rPr>
        <w:t>Transferta pašvaldībām noteiktam mērķim</w:t>
      </w:r>
      <w:r w:rsidR="009933F5" w:rsidRPr="002C6B7D">
        <w:rPr>
          <w:noProof/>
          <w:sz w:val="28"/>
          <w:szCs w:val="28"/>
          <w:lang w:bidi="yi-Hebr"/>
        </w:rPr>
        <w:t xml:space="preserve"> sadali  administrēja Svētku rīkotājs</w:t>
      </w:r>
      <w:r w:rsidR="00972967" w:rsidRPr="002C6B7D">
        <w:rPr>
          <w:noProof/>
          <w:sz w:val="28"/>
          <w:szCs w:val="28"/>
          <w:lang w:bidi="yi-Hebr"/>
        </w:rPr>
        <w:t xml:space="preserve"> </w:t>
      </w:r>
      <w:r w:rsidR="008E5134" w:rsidRPr="002C6B7D">
        <w:rPr>
          <w:noProof/>
          <w:sz w:val="28"/>
          <w:szCs w:val="28"/>
          <w:lang w:bidi="yi-Hebr"/>
        </w:rPr>
        <w:t>Latvijas Nacionālais kultūras centrs</w:t>
      </w:r>
      <w:r w:rsidR="005E1A61" w:rsidRPr="002C6B7D">
        <w:rPr>
          <w:noProof/>
          <w:sz w:val="28"/>
          <w:szCs w:val="28"/>
          <w:lang w:bidi="yi-Hebr"/>
        </w:rPr>
        <w:t xml:space="preserve"> </w:t>
      </w:r>
      <w:r w:rsidR="00337F3A">
        <w:rPr>
          <w:noProof/>
          <w:sz w:val="28"/>
          <w:szCs w:val="28"/>
          <w:lang w:bidi="yi-Hebr"/>
        </w:rPr>
        <w:t>(</w:t>
      </w:r>
      <w:r w:rsidR="005E1A61" w:rsidRPr="002C6B7D">
        <w:rPr>
          <w:noProof/>
          <w:sz w:val="28"/>
          <w:szCs w:val="28"/>
          <w:lang w:bidi="yi-Hebr"/>
        </w:rPr>
        <w:t>turpmāk</w:t>
      </w:r>
      <w:r w:rsidR="00003B72" w:rsidRPr="002C6B7D">
        <w:rPr>
          <w:noProof/>
          <w:sz w:val="28"/>
          <w:szCs w:val="28"/>
          <w:lang w:bidi="yi-Hebr"/>
        </w:rPr>
        <w:t xml:space="preserve"> </w:t>
      </w:r>
      <w:r w:rsidR="00337F3A">
        <w:rPr>
          <w:noProof/>
          <w:sz w:val="28"/>
          <w:szCs w:val="28"/>
          <w:lang w:bidi="yi-Hebr"/>
        </w:rPr>
        <w:t>–</w:t>
      </w:r>
      <w:r w:rsidR="005E1A61" w:rsidRPr="002C6B7D">
        <w:rPr>
          <w:noProof/>
          <w:sz w:val="28"/>
          <w:szCs w:val="28"/>
          <w:lang w:bidi="yi-Hebr"/>
        </w:rPr>
        <w:t xml:space="preserve"> Centrs</w:t>
      </w:r>
      <w:r w:rsidR="00337F3A">
        <w:rPr>
          <w:noProof/>
          <w:sz w:val="28"/>
          <w:szCs w:val="28"/>
          <w:lang w:bidi="yi-Hebr"/>
        </w:rPr>
        <w:t>)</w:t>
      </w:r>
      <w:r w:rsidR="005E1A61" w:rsidRPr="002C6B7D">
        <w:rPr>
          <w:noProof/>
          <w:sz w:val="28"/>
          <w:szCs w:val="28"/>
          <w:lang w:bidi="yi-Hebr"/>
        </w:rPr>
        <w:t>,</w:t>
      </w:r>
      <w:r w:rsidR="009933F5" w:rsidRPr="002C6B7D">
        <w:rPr>
          <w:noProof/>
          <w:sz w:val="28"/>
          <w:szCs w:val="28"/>
          <w:lang w:bidi="yi-Hebr"/>
        </w:rPr>
        <w:t xml:space="preserve"> slēdzot</w:t>
      </w:r>
      <w:r w:rsidR="008E5134" w:rsidRPr="002C6B7D">
        <w:rPr>
          <w:noProof/>
          <w:sz w:val="28"/>
          <w:szCs w:val="28"/>
          <w:lang w:bidi="yi-Hebr"/>
        </w:rPr>
        <w:t xml:space="preserve"> </w:t>
      </w:r>
      <w:r w:rsidR="008E5134" w:rsidRPr="002C6B7D">
        <w:rPr>
          <w:noProof/>
          <w:sz w:val="28"/>
          <w:szCs w:val="28"/>
          <w:lang w:bidi="yi-Hebr"/>
        </w:rPr>
        <w:lastRenderedPageBreak/>
        <w:t xml:space="preserve">finansējuma līgumus ar </w:t>
      </w:r>
      <w:r w:rsidR="009933F5" w:rsidRPr="002C6B7D">
        <w:rPr>
          <w:noProof/>
          <w:sz w:val="28"/>
          <w:szCs w:val="28"/>
          <w:lang w:bidi="yi-Hebr"/>
        </w:rPr>
        <w:t>11</w:t>
      </w:r>
      <w:r w:rsidR="00BF16A2" w:rsidRPr="002C6B7D">
        <w:rPr>
          <w:noProof/>
          <w:sz w:val="28"/>
          <w:szCs w:val="28"/>
          <w:lang w:bidi="yi-Hebr"/>
        </w:rPr>
        <w:t>7</w:t>
      </w:r>
      <w:r w:rsidR="00F15A79" w:rsidRPr="002C6B7D">
        <w:rPr>
          <w:noProof/>
          <w:sz w:val="28"/>
          <w:szCs w:val="28"/>
          <w:lang w:bidi="yi-Hebr"/>
        </w:rPr>
        <w:t xml:space="preserve"> </w:t>
      </w:r>
      <w:r w:rsidR="008E5134" w:rsidRPr="002C6B7D">
        <w:rPr>
          <w:noProof/>
          <w:sz w:val="28"/>
          <w:szCs w:val="28"/>
          <w:lang w:bidi="yi-Hebr"/>
        </w:rPr>
        <w:t xml:space="preserve">pašvaldībām, </w:t>
      </w:r>
      <w:r w:rsidR="009933F5" w:rsidRPr="002C6B7D">
        <w:rPr>
          <w:noProof/>
          <w:sz w:val="28"/>
          <w:szCs w:val="28"/>
          <w:lang w:bidi="yi-Hebr"/>
        </w:rPr>
        <w:t>atbilstoši katra Svētku dalībnieka līdzdalībai Svētkos (mēģinājumos un pasākumos/koncertos).</w:t>
      </w:r>
      <w:r w:rsidR="00B93687" w:rsidRPr="002C6B7D">
        <w:rPr>
          <w:noProof/>
          <w:sz w:val="28"/>
          <w:szCs w:val="28"/>
          <w:lang w:bidi="yi-Hebr"/>
        </w:rPr>
        <w:t xml:space="preserve"> Finansējums pašvaldībām </w:t>
      </w:r>
      <w:r w:rsidR="008E5134" w:rsidRPr="002C6B7D">
        <w:rPr>
          <w:noProof/>
          <w:sz w:val="28"/>
          <w:szCs w:val="28"/>
          <w:lang w:bidi="yi-Hebr"/>
        </w:rPr>
        <w:t xml:space="preserve">tika piešķirts precīzi uzskaitot dienu skaitu, </w:t>
      </w:r>
      <w:r w:rsidR="009933F5" w:rsidRPr="002C6B7D">
        <w:rPr>
          <w:noProof/>
          <w:sz w:val="28"/>
          <w:szCs w:val="28"/>
          <w:lang w:bidi="yi-Hebr"/>
        </w:rPr>
        <w:t xml:space="preserve">kuras attiecīgās pašvaldības Svētku dalībnieki pavada Svētkos un kurās Svētku dalībniekam nepieciešamas naktsmītnes un/vai ēdienreizes (atkarībā no līdzdalības </w:t>
      </w:r>
      <w:r w:rsidR="00033DFA" w:rsidRPr="002C6B7D">
        <w:rPr>
          <w:noProof/>
          <w:sz w:val="28"/>
          <w:szCs w:val="28"/>
          <w:lang w:bidi="yi-Hebr"/>
        </w:rPr>
        <w:t>–</w:t>
      </w:r>
      <w:r w:rsidR="009933F5" w:rsidRPr="002C6B7D">
        <w:rPr>
          <w:noProof/>
          <w:sz w:val="28"/>
          <w:szCs w:val="28"/>
          <w:lang w:bidi="yi-Hebr"/>
        </w:rPr>
        <w:t xml:space="preserve"> viena līdz trīs ēdienreizes dienā).</w:t>
      </w:r>
      <w:r w:rsidR="00B93687" w:rsidRPr="002C6B7D">
        <w:rPr>
          <w:noProof/>
          <w:sz w:val="28"/>
          <w:szCs w:val="28"/>
          <w:lang w:bidi="yi-Hebr"/>
        </w:rPr>
        <w:t xml:space="preserve"> </w:t>
      </w:r>
      <w:r w:rsidR="000351BA" w:rsidRPr="002C6B7D">
        <w:rPr>
          <w:noProof/>
          <w:sz w:val="28"/>
          <w:szCs w:val="28"/>
          <w:lang w:bidi="yi-Hebr"/>
        </w:rPr>
        <w:t>Respektīvi, vienas pašvaldības ietvaros aprēķins katram mākslinieciskajam kolektīvam tika veikts pēc sekojoša algoritma:</w:t>
      </w:r>
      <w:r w:rsidR="00320BA5" w:rsidRPr="002C6B7D">
        <w:rPr>
          <w:noProof/>
          <w:sz w:val="28"/>
          <w:szCs w:val="28"/>
          <w:lang w:bidi="yi-Hebr"/>
        </w:rPr>
        <w:t xml:space="preserve"> kolektīva dalībnieku skaits x</w:t>
      </w:r>
      <w:r w:rsidR="000351BA" w:rsidRPr="002C6B7D">
        <w:rPr>
          <w:noProof/>
          <w:sz w:val="28"/>
          <w:szCs w:val="28"/>
          <w:lang w:bidi="yi-Hebr"/>
        </w:rPr>
        <w:t xml:space="preserve"> 5</w:t>
      </w:r>
      <w:r w:rsidR="00320BA5" w:rsidRPr="002C6B7D">
        <w:rPr>
          <w:noProof/>
          <w:sz w:val="28"/>
          <w:szCs w:val="28"/>
          <w:lang w:bidi="yi-Hebr"/>
        </w:rPr>
        <w:t xml:space="preserve"> LVL</w:t>
      </w:r>
      <w:r w:rsidR="000351BA" w:rsidRPr="002C6B7D">
        <w:rPr>
          <w:noProof/>
          <w:sz w:val="28"/>
          <w:szCs w:val="28"/>
          <w:lang w:bidi="yi-Hebr"/>
        </w:rPr>
        <w:t xml:space="preserve"> x Rīgā pavadīto dienu skaits. Ja konkrētais kolektīvs kādu no dienām Rīgā pavadīja daļēji (iebraucot vakarā Rīgā, t.sk. vakariņojot un nakšņojot), tad par to katram kolektīva dalībniekam tika piešķirti 2.30</w:t>
      </w:r>
      <w:r w:rsidR="00320BA5" w:rsidRPr="002C6B7D">
        <w:rPr>
          <w:noProof/>
          <w:sz w:val="28"/>
          <w:szCs w:val="28"/>
          <w:lang w:bidi="yi-Hebr"/>
        </w:rPr>
        <w:t xml:space="preserve"> LVL (</w:t>
      </w:r>
      <w:r w:rsidR="000351BA" w:rsidRPr="002C6B7D">
        <w:rPr>
          <w:noProof/>
          <w:sz w:val="28"/>
          <w:szCs w:val="28"/>
          <w:lang w:bidi="yi-Hebr"/>
        </w:rPr>
        <w:t>1.10</w:t>
      </w:r>
      <w:r w:rsidR="00320BA5" w:rsidRPr="002C6B7D">
        <w:rPr>
          <w:noProof/>
          <w:sz w:val="28"/>
          <w:szCs w:val="28"/>
          <w:lang w:bidi="yi-Hebr"/>
        </w:rPr>
        <w:t xml:space="preserve"> LVL</w:t>
      </w:r>
      <w:r w:rsidR="000351BA" w:rsidRPr="002C6B7D">
        <w:rPr>
          <w:noProof/>
          <w:sz w:val="28"/>
          <w:szCs w:val="28"/>
          <w:lang w:bidi="yi-Hebr"/>
        </w:rPr>
        <w:t xml:space="preserve"> – naktsmītnes un 1.20</w:t>
      </w:r>
      <w:r w:rsidR="00320BA5" w:rsidRPr="002C6B7D">
        <w:rPr>
          <w:noProof/>
          <w:sz w:val="28"/>
          <w:szCs w:val="28"/>
          <w:lang w:bidi="yi-Hebr"/>
        </w:rPr>
        <w:t xml:space="preserve"> LVL</w:t>
      </w:r>
      <w:r w:rsidR="000351BA" w:rsidRPr="002C6B7D">
        <w:rPr>
          <w:noProof/>
          <w:sz w:val="28"/>
          <w:szCs w:val="28"/>
          <w:lang w:bidi="yi-Hebr"/>
        </w:rPr>
        <w:t xml:space="preserve"> ēdināšana- vakariņas).</w:t>
      </w:r>
      <w:r w:rsidR="008102A5" w:rsidRPr="002C6B7D">
        <w:rPr>
          <w:noProof/>
          <w:sz w:val="28"/>
          <w:szCs w:val="28"/>
          <w:lang w:bidi="yi-Hebr"/>
        </w:rPr>
        <w:t xml:space="preserve"> </w:t>
      </w:r>
    </w:p>
    <w:p w:rsidR="007B51E7" w:rsidRDefault="007B51E7" w:rsidP="000351BA">
      <w:pPr>
        <w:rPr>
          <w:noProof/>
          <w:sz w:val="28"/>
          <w:szCs w:val="28"/>
          <w:highlight w:val="yellow"/>
          <w:lang w:bidi="yi-Hebr"/>
        </w:rPr>
      </w:pPr>
    </w:p>
    <w:p w:rsidR="00320BA5" w:rsidRPr="00320BA5" w:rsidRDefault="00320BA5" w:rsidP="00320BA5">
      <w:pPr>
        <w:jc w:val="right"/>
        <w:rPr>
          <w:noProof/>
          <w:sz w:val="28"/>
          <w:szCs w:val="28"/>
          <w:lang w:bidi="yi-Hebr"/>
        </w:rPr>
      </w:pPr>
      <w:r w:rsidRPr="00320BA5">
        <w:rPr>
          <w:noProof/>
          <w:sz w:val="28"/>
          <w:szCs w:val="28"/>
          <w:lang w:bidi="yi-Hebr"/>
        </w:rPr>
        <w:t>1.2. tabula</w:t>
      </w:r>
    </w:p>
    <w:p w:rsidR="00320BA5" w:rsidRPr="00320BA5" w:rsidRDefault="00320BA5" w:rsidP="00320BA5">
      <w:pPr>
        <w:jc w:val="center"/>
        <w:rPr>
          <w:noProof/>
          <w:sz w:val="28"/>
          <w:szCs w:val="28"/>
          <w:highlight w:val="yellow"/>
          <w:lang w:bidi="yi-Hebr"/>
        </w:rPr>
      </w:pPr>
      <w:r w:rsidRPr="00320BA5">
        <w:rPr>
          <w:noProof/>
          <w:sz w:val="28"/>
          <w:szCs w:val="28"/>
          <w:lang w:bidi="yi-Hebr"/>
        </w:rPr>
        <w:t>Transferts pašvaldībām noteiktam mērķim XXV Vispārējo latviešu Dziesmu un XV Deju svētku dalībnieku ēdināšanas un naktsmītņu nodrošināšanai</w:t>
      </w:r>
    </w:p>
    <w:tbl>
      <w:tblPr>
        <w:tblW w:w="10112" w:type="dxa"/>
        <w:jc w:val="center"/>
        <w:tblInd w:w="93" w:type="dxa"/>
        <w:tblLook w:val="04A0" w:firstRow="1" w:lastRow="0" w:firstColumn="1" w:lastColumn="0" w:noHBand="0" w:noVBand="1"/>
      </w:tblPr>
      <w:tblGrid>
        <w:gridCol w:w="1054"/>
        <w:gridCol w:w="1411"/>
        <w:gridCol w:w="1427"/>
        <w:gridCol w:w="1183"/>
        <w:gridCol w:w="1510"/>
        <w:gridCol w:w="1276"/>
        <w:gridCol w:w="1117"/>
        <w:gridCol w:w="1134"/>
      </w:tblGrid>
      <w:tr w:rsidR="00746366" w:rsidRPr="00746366" w:rsidTr="002C6B7D">
        <w:trPr>
          <w:trHeight w:val="600"/>
          <w:jc w:val="center"/>
        </w:trPr>
        <w:tc>
          <w:tcPr>
            <w:tcW w:w="1054" w:type="dxa"/>
            <w:vMerge w:val="restart"/>
            <w:tcBorders>
              <w:top w:val="single" w:sz="4" w:space="0" w:color="auto"/>
              <w:left w:val="single" w:sz="4" w:space="0" w:color="auto"/>
              <w:bottom w:val="single" w:sz="4" w:space="0" w:color="000000"/>
              <w:right w:val="nil"/>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 </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 xml:space="preserve">Dalībnieku skaits </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Izmaksas (ēdināšana, naktsmītnes)</w:t>
            </w:r>
          </w:p>
        </w:tc>
        <w:tc>
          <w:tcPr>
            <w:tcW w:w="1183" w:type="dxa"/>
            <w:vMerge w:val="restart"/>
            <w:tcBorders>
              <w:top w:val="single" w:sz="4" w:space="0" w:color="auto"/>
              <w:left w:val="nil"/>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Summa</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Dalībnieki, kas iebrauc iepriekšējā dienā, skaits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Summa par 1 dalībn. iepr.dienā (1.20 - vakariņas; 1.10 - naktsm.)</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Papildus izmaksas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center"/>
              <w:textAlignment w:val="auto"/>
              <w:rPr>
                <w:b/>
                <w:bCs/>
                <w:color w:val="000000"/>
                <w:szCs w:val="22"/>
                <w:lang w:val="lv-LV"/>
              </w:rPr>
            </w:pPr>
            <w:r w:rsidRPr="00746366">
              <w:rPr>
                <w:b/>
                <w:bCs/>
                <w:color w:val="000000"/>
                <w:sz w:val="22"/>
                <w:szCs w:val="22"/>
                <w:lang w:val="lv-LV"/>
              </w:rPr>
              <w:t>Summa kopā</w:t>
            </w:r>
          </w:p>
        </w:tc>
      </w:tr>
      <w:tr w:rsidR="00746366" w:rsidRPr="00746366" w:rsidTr="002C6B7D">
        <w:trPr>
          <w:trHeight w:val="300"/>
          <w:jc w:val="center"/>
        </w:trPr>
        <w:tc>
          <w:tcPr>
            <w:tcW w:w="1054" w:type="dxa"/>
            <w:vMerge/>
            <w:tcBorders>
              <w:top w:val="single" w:sz="4" w:space="0" w:color="auto"/>
              <w:left w:val="single" w:sz="4" w:space="0" w:color="auto"/>
              <w:bottom w:val="single" w:sz="4" w:space="0" w:color="000000"/>
              <w:right w:val="nil"/>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83" w:type="dxa"/>
            <w:vMerge/>
            <w:tcBorders>
              <w:top w:val="single" w:sz="4" w:space="0" w:color="auto"/>
              <w:left w:val="nil"/>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r>
      <w:tr w:rsidR="00746366" w:rsidRPr="00746366" w:rsidTr="002C6B7D">
        <w:trPr>
          <w:trHeight w:val="300"/>
          <w:jc w:val="center"/>
        </w:trPr>
        <w:tc>
          <w:tcPr>
            <w:tcW w:w="1054" w:type="dxa"/>
            <w:vMerge/>
            <w:tcBorders>
              <w:top w:val="single" w:sz="4" w:space="0" w:color="auto"/>
              <w:left w:val="single" w:sz="4" w:space="0" w:color="auto"/>
              <w:bottom w:val="single" w:sz="4" w:space="0" w:color="000000"/>
              <w:right w:val="nil"/>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83" w:type="dxa"/>
            <w:vMerge/>
            <w:tcBorders>
              <w:top w:val="single" w:sz="4" w:space="0" w:color="auto"/>
              <w:left w:val="nil"/>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r>
      <w:tr w:rsidR="00746366" w:rsidRPr="00746366" w:rsidTr="002C6B7D">
        <w:trPr>
          <w:trHeight w:val="870"/>
          <w:jc w:val="center"/>
        </w:trPr>
        <w:tc>
          <w:tcPr>
            <w:tcW w:w="1054" w:type="dxa"/>
            <w:vMerge/>
            <w:tcBorders>
              <w:top w:val="single" w:sz="4" w:space="0" w:color="auto"/>
              <w:left w:val="single" w:sz="4" w:space="0" w:color="auto"/>
              <w:bottom w:val="single" w:sz="4" w:space="0" w:color="000000"/>
              <w:right w:val="nil"/>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83" w:type="dxa"/>
            <w:vMerge/>
            <w:tcBorders>
              <w:top w:val="single" w:sz="4" w:space="0" w:color="auto"/>
              <w:left w:val="nil"/>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6366" w:rsidRPr="00746366" w:rsidRDefault="00746366" w:rsidP="00746366">
            <w:pPr>
              <w:overflowPunct/>
              <w:autoSpaceDE/>
              <w:autoSpaceDN/>
              <w:adjustRightInd/>
              <w:spacing w:after="0"/>
              <w:ind w:firstLine="0"/>
              <w:jc w:val="left"/>
              <w:textAlignment w:val="auto"/>
              <w:rPr>
                <w:b/>
                <w:bCs/>
                <w:color w:val="000000"/>
                <w:szCs w:val="22"/>
                <w:lang w:val="lv-LV"/>
              </w:rPr>
            </w:pPr>
          </w:p>
        </w:tc>
      </w:tr>
      <w:tr w:rsidR="00746366" w:rsidRPr="00746366" w:rsidTr="002C6B7D">
        <w:trPr>
          <w:trHeight w:val="300"/>
          <w:jc w:val="center"/>
        </w:trPr>
        <w:tc>
          <w:tcPr>
            <w:tcW w:w="1054" w:type="dxa"/>
            <w:tcBorders>
              <w:top w:val="nil"/>
              <w:left w:val="single" w:sz="4" w:space="0" w:color="000000"/>
              <w:bottom w:val="nil"/>
              <w:right w:val="nil"/>
            </w:tcBorders>
            <w:shd w:val="clear" w:color="auto" w:fill="auto"/>
            <w:vAlign w:val="center"/>
            <w:hideMark/>
          </w:tcPr>
          <w:p w:rsidR="00746366" w:rsidRPr="00746366" w:rsidRDefault="00746366" w:rsidP="00746366">
            <w:pPr>
              <w:overflowPunct/>
              <w:autoSpaceDE/>
              <w:autoSpaceDN/>
              <w:adjustRightInd/>
              <w:spacing w:after="0"/>
              <w:ind w:firstLine="0"/>
              <w:jc w:val="right"/>
              <w:textAlignment w:val="auto"/>
              <w:rPr>
                <w:b/>
                <w:bCs/>
                <w:color w:val="000000"/>
                <w:szCs w:val="22"/>
                <w:lang w:val="lv-LV"/>
              </w:rPr>
            </w:pPr>
            <w:r w:rsidRPr="00746366">
              <w:rPr>
                <w:b/>
                <w:bCs/>
                <w:color w:val="000000"/>
                <w:sz w:val="22"/>
                <w:szCs w:val="22"/>
                <w:lang w:val="lv-LV"/>
              </w:rPr>
              <w:t>KOPĀ (Izpilde)</w:t>
            </w:r>
          </w:p>
        </w:tc>
        <w:tc>
          <w:tcPr>
            <w:tcW w:w="1411" w:type="dxa"/>
            <w:tcBorders>
              <w:top w:val="nil"/>
              <w:left w:val="single" w:sz="4" w:space="0" w:color="auto"/>
              <w:bottom w:val="nil"/>
              <w:right w:val="single" w:sz="4" w:space="0" w:color="auto"/>
            </w:tcBorders>
            <w:shd w:val="clear" w:color="auto" w:fill="auto"/>
            <w:vAlign w:val="center"/>
            <w:hideMark/>
          </w:tcPr>
          <w:p w:rsidR="00746366" w:rsidRPr="008A0728" w:rsidRDefault="00746366" w:rsidP="00746366">
            <w:pPr>
              <w:overflowPunct/>
              <w:autoSpaceDE/>
              <w:autoSpaceDN/>
              <w:adjustRightInd/>
              <w:spacing w:after="0"/>
              <w:ind w:firstLine="0"/>
              <w:jc w:val="center"/>
              <w:textAlignment w:val="auto"/>
              <w:rPr>
                <w:bCs/>
                <w:color w:val="000000"/>
                <w:szCs w:val="22"/>
                <w:lang w:val="lv-LV"/>
              </w:rPr>
            </w:pPr>
            <w:r w:rsidRPr="008A0728">
              <w:rPr>
                <w:bCs/>
                <w:color w:val="000000"/>
                <w:sz w:val="22"/>
                <w:szCs w:val="22"/>
                <w:lang w:val="lv-LV"/>
              </w:rPr>
              <w:t>37 586</w:t>
            </w:r>
          </w:p>
        </w:tc>
        <w:tc>
          <w:tcPr>
            <w:tcW w:w="1427" w:type="dxa"/>
            <w:tcBorders>
              <w:top w:val="nil"/>
              <w:left w:val="nil"/>
              <w:bottom w:val="nil"/>
              <w:right w:val="nil"/>
            </w:tcBorders>
            <w:shd w:val="clear" w:color="auto" w:fill="auto"/>
            <w:vAlign w:val="center"/>
            <w:hideMark/>
          </w:tcPr>
          <w:p w:rsidR="00746366" w:rsidRPr="008A0728" w:rsidRDefault="00746366" w:rsidP="00746366">
            <w:pPr>
              <w:overflowPunct/>
              <w:autoSpaceDE/>
              <w:autoSpaceDN/>
              <w:adjustRightInd/>
              <w:spacing w:after="0"/>
              <w:ind w:firstLine="0"/>
              <w:jc w:val="center"/>
              <w:textAlignment w:val="auto"/>
              <w:rPr>
                <w:bCs/>
                <w:color w:val="000000"/>
                <w:szCs w:val="22"/>
                <w:lang w:val="lv-LV"/>
              </w:rPr>
            </w:pPr>
            <w:r w:rsidRPr="008A0728">
              <w:rPr>
                <w:bCs/>
                <w:color w:val="000000"/>
                <w:sz w:val="22"/>
                <w:szCs w:val="22"/>
                <w:lang w:val="lv-LV"/>
              </w:rPr>
              <w:t>~ 5.00</w:t>
            </w:r>
          </w:p>
        </w:tc>
        <w:tc>
          <w:tcPr>
            <w:tcW w:w="1183" w:type="dxa"/>
            <w:tcBorders>
              <w:top w:val="single" w:sz="4" w:space="0" w:color="auto"/>
              <w:left w:val="single" w:sz="4" w:space="0" w:color="auto"/>
              <w:bottom w:val="nil"/>
              <w:right w:val="single" w:sz="4" w:space="0" w:color="auto"/>
            </w:tcBorders>
            <w:shd w:val="clear" w:color="auto" w:fill="auto"/>
            <w:noWrap/>
            <w:vAlign w:val="center"/>
            <w:hideMark/>
          </w:tcPr>
          <w:p w:rsidR="00746366" w:rsidRPr="008A0728" w:rsidRDefault="00746366" w:rsidP="00746366">
            <w:pPr>
              <w:overflowPunct/>
              <w:autoSpaceDE/>
              <w:autoSpaceDN/>
              <w:adjustRightInd/>
              <w:spacing w:after="0"/>
              <w:ind w:firstLine="0"/>
              <w:jc w:val="center"/>
              <w:textAlignment w:val="auto"/>
              <w:rPr>
                <w:bCs/>
                <w:color w:val="000000"/>
                <w:szCs w:val="22"/>
                <w:lang w:val="lv-LV"/>
              </w:rPr>
            </w:pPr>
            <w:r w:rsidRPr="008A0728">
              <w:rPr>
                <w:bCs/>
                <w:color w:val="000000"/>
                <w:sz w:val="22"/>
                <w:szCs w:val="22"/>
                <w:lang w:val="lv-LV"/>
              </w:rPr>
              <w:t>817 897</w:t>
            </w:r>
          </w:p>
        </w:tc>
        <w:tc>
          <w:tcPr>
            <w:tcW w:w="1510" w:type="dxa"/>
            <w:tcBorders>
              <w:top w:val="single" w:sz="4" w:space="0" w:color="auto"/>
              <w:left w:val="nil"/>
              <w:bottom w:val="nil"/>
              <w:right w:val="single" w:sz="4" w:space="0" w:color="auto"/>
            </w:tcBorders>
            <w:shd w:val="clear" w:color="auto" w:fill="auto"/>
            <w:noWrap/>
            <w:vAlign w:val="center"/>
            <w:hideMark/>
          </w:tcPr>
          <w:p w:rsidR="00746366" w:rsidRPr="008A0728" w:rsidRDefault="00746366" w:rsidP="00746366">
            <w:pPr>
              <w:overflowPunct/>
              <w:autoSpaceDE/>
              <w:autoSpaceDN/>
              <w:adjustRightInd/>
              <w:spacing w:after="0"/>
              <w:ind w:firstLine="0"/>
              <w:jc w:val="center"/>
              <w:textAlignment w:val="auto"/>
              <w:rPr>
                <w:bCs/>
                <w:color w:val="000000"/>
                <w:szCs w:val="22"/>
                <w:lang w:val="lv-LV"/>
              </w:rPr>
            </w:pPr>
            <w:r w:rsidRPr="008A0728">
              <w:rPr>
                <w:bCs/>
                <w:color w:val="000000"/>
                <w:sz w:val="22"/>
                <w:szCs w:val="22"/>
                <w:lang w:val="lv-LV"/>
              </w:rPr>
              <w:t>10 095</w:t>
            </w:r>
          </w:p>
        </w:tc>
        <w:tc>
          <w:tcPr>
            <w:tcW w:w="1276" w:type="dxa"/>
            <w:tcBorders>
              <w:top w:val="single" w:sz="4" w:space="0" w:color="auto"/>
              <w:left w:val="nil"/>
              <w:bottom w:val="nil"/>
              <w:right w:val="single" w:sz="4" w:space="0" w:color="auto"/>
            </w:tcBorders>
            <w:shd w:val="clear" w:color="auto" w:fill="auto"/>
            <w:noWrap/>
            <w:vAlign w:val="center"/>
            <w:hideMark/>
          </w:tcPr>
          <w:p w:rsidR="00746366" w:rsidRPr="008A0728" w:rsidRDefault="00746366" w:rsidP="00746366">
            <w:pPr>
              <w:overflowPunct/>
              <w:autoSpaceDE/>
              <w:autoSpaceDN/>
              <w:adjustRightInd/>
              <w:spacing w:after="0"/>
              <w:ind w:firstLine="0"/>
              <w:jc w:val="center"/>
              <w:textAlignment w:val="auto"/>
              <w:rPr>
                <w:bCs/>
                <w:color w:val="000000"/>
                <w:szCs w:val="22"/>
                <w:lang w:val="lv-LV"/>
              </w:rPr>
            </w:pPr>
            <w:r w:rsidRPr="008A0728">
              <w:rPr>
                <w:bCs/>
                <w:color w:val="000000"/>
                <w:sz w:val="22"/>
                <w:szCs w:val="22"/>
                <w:lang w:val="lv-LV"/>
              </w:rPr>
              <w:t> </w:t>
            </w:r>
          </w:p>
        </w:tc>
        <w:tc>
          <w:tcPr>
            <w:tcW w:w="1117" w:type="dxa"/>
            <w:tcBorders>
              <w:top w:val="single" w:sz="4" w:space="0" w:color="auto"/>
              <w:left w:val="nil"/>
              <w:bottom w:val="nil"/>
              <w:right w:val="single" w:sz="4" w:space="0" w:color="auto"/>
            </w:tcBorders>
            <w:shd w:val="clear" w:color="auto" w:fill="auto"/>
            <w:noWrap/>
            <w:vAlign w:val="center"/>
            <w:hideMark/>
          </w:tcPr>
          <w:p w:rsidR="00746366" w:rsidRPr="008A0728" w:rsidRDefault="00746366" w:rsidP="00746366">
            <w:pPr>
              <w:overflowPunct/>
              <w:autoSpaceDE/>
              <w:autoSpaceDN/>
              <w:adjustRightInd/>
              <w:spacing w:after="0"/>
              <w:ind w:firstLine="0"/>
              <w:jc w:val="center"/>
              <w:textAlignment w:val="auto"/>
              <w:rPr>
                <w:bCs/>
                <w:color w:val="000000"/>
                <w:szCs w:val="22"/>
                <w:lang w:val="lv-LV"/>
              </w:rPr>
            </w:pPr>
            <w:r w:rsidRPr="008A0728">
              <w:rPr>
                <w:bCs/>
                <w:color w:val="000000"/>
                <w:sz w:val="22"/>
                <w:szCs w:val="22"/>
                <w:lang w:val="lv-LV"/>
              </w:rPr>
              <w:t>22 690</w:t>
            </w:r>
          </w:p>
        </w:tc>
        <w:tc>
          <w:tcPr>
            <w:tcW w:w="1134" w:type="dxa"/>
            <w:tcBorders>
              <w:top w:val="single" w:sz="4" w:space="0" w:color="auto"/>
              <w:left w:val="nil"/>
              <w:bottom w:val="nil"/>
              <w:right w:val="single" w:sz="4" w:space="0" w:color="auto"/>
            </w:tcBorders>
            <w:shd w:val="clear" w:color="auto" w:fill="auto"/>
            <w:noWrap/>
            <w:vAlign w:val="center"/>
            <w:hideMark/>
          </w:tcPr>
          <w:p w:rsidR="00746366" w:rsidRPr="008A0728" w:rsidRDefault="00746366" w:rsidP="00746366">
            <w:pPr>
              <w:overflowPunct/>
              <w:autoSpaceDE/>
              <w:autoSpaceDN/>
              <w:adjustRightInd/>
              <w:spacing w:after="0"/>
              <w:ind w:firstLine="0"/>
              <w:jc w:val="center"/>
              <w:textAlignment w:val="auto"/>
              <w:rPr>
                <w:bCs/>
                <w:color w:val="000000"/>
                <w:szCs w:val="22"/>
                <w:lang w:val="lv-LV"/>
              </w:rPr>
            </w:pPr>
            <w:r w:rsidRPr="008A0728">
              <w:rPr>
                <w:bCs/>
                <w:color w:val="000000"/>
                <w:sz w:val="22"/>
                <w:szCs w:val="22"/>
                <w:lang w:val="lv-LV"/>
              </w:rPr>
              <w:t>834 843</w:t>
            </w:r>
          </w:p>
        </w:tc>
      </w:tr>
      <w:tr w:rsidR="00746366" w:rsidRPr="00746366" w:rsidTr="002C6B7D">
        <w:trPr>
          <w:trHeight w:val="315"/>
          <w:jc w:val="center"/>
        </w:trPr>
        <w:tc>
          <w:tcPr>
            <w:tcW w:w="897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46366" w:rsidRPr="00746366" w:rsidRDefault="00746366" w:rsidP="00746366">
            <w:pPr>
              <w:overflowPunct/>
              <w:autoSpaceDE/>
              <w:autoSpaceDN/>
              <w:adjustRightInd/>
              <w:spacing w:after="0"/>
              <w:ind w:firstLine="0"/>
              <w:jc w:val="right"/>
              <w:textAlignment w:val="auto"/>
              <w:rPr>
                <w:color w:val="000000"/>
                <w:szCs w:val="22"/>
                <w:lang w:val="lv-LV"/>
              </w:rPr>
            </w:pPr>
            <w:r w:rsidRPr="00746366">
              <w:rPr>
                <w:color w:val="000000"/>
                <w:sz w:val="22"/>
                <w:szCs w:val="22"/>
                <w:lang w:val="lv-LV"/>
              </w:rPr>
              <w:t>Apstiprinātais finansējums transfertiem pašvaldībām noteiktam mērķim: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6366" w:rsidRPr="00746366" w:rsidRDefault="00746366" w:rsidP="00746366">
            <w:pPr>
              <w:overflowPunct/>
              <w:autoSpaceDE/>
              <w:autoSpaceDN/>
              <w:adjustRightInd/>
              <w:spacing w:after="0"/>
              <w:ind w:firstLine="0"/>
              <w:jc w:val="center"/>
              <w:textAlignment w:val="auto"/>
              <w:rPr>
                <w:szCs w:val="22"/>
                <w:lang w:val="lv-LV"/>
              </w:rPr>
            </w:pPr>
            <w:r w:rsidRPr="00746366">
              <w:rPr>
                <w:sz w:val="22"/>
                <w:szCs w:val="22"/>
                <w:lang w:val="lv-LV"/>
              </w:rPr>
              <w:t>975 000</w:t>
            </w:r>
          </w:p>
        </w:tc>
      </w:tr>
      <w:tr w:rsidR="00746366" w:rsidRPr="00746366" w:rsidTr="002C6B7D">
        <w:trPr>
          <w:trHeight w:val="300"/>
          <w:jc w:val="center"/>
        </w:trPr>
        <w:tc>
          <w:tcPr>
            <w:tcW w:w="897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746366" w:rsidRPr="00746366" w:rsidRDefault="00746366" w:rsidP="00746366">
            <w:pPr>
              <w:overflowPunct/>
              <w:autoSpaceDE/>
              <w:autoSpaceDN/>
              <w:adjustRightInd/>
              <w:spacing w:after="0"/>
              <w:ind w:firstLine="0"/>
              <w:jc w:val="right"/>
              <w:textAlignment w:val="auto"/>
              <w:rPr>
                <w:b/>
                <w:bCs/>
                <w:color w:val="000000"/>
                <w:szCs w:val="22"/>
                <w:lang w:val="lv-LV"/>
              </w:rPr>
            </w:pPr>
            <w:r w:rsidRPr="00746366">
              <w:rPr>
                <w:b/>
                <w:bCs/>
                <w:color w:val="000000"/>
                <w:sz w:val="22"/>
                <w:szCs w:val="22"/>
                <w:lang w:val="lv-LV"/>
              </w:rPr>
              <w:t>Starpība (neizlietotais finansējums):</w:t>
            </w:r>
          </w:p>
        </w:tc>
        <w:tc>
          <w:tcPr>
            <w:tcW w:w="1134" w:type="dxa"/>
            <w:tcBorders>
              <w:top w:val="nil"/>
              <w:left w:val="nil"/>
              <w:bottom w:val="single" w:sz="4" w:space="0" w:color="auto"/>
              <w:right w:val="single" w:sz="4" w:space="0" w:color="auto"/>
            </w:tcBorders>
            <w:shd w:val="clear" w:color="auto" w:fill="auto"/>
            <w:noWrap/>
            <w:vAlign w:val="bottom"/>
            <w:hideMark/>
          </w:tcPr>
          <w:p w:rsidR="00746366" w:rsidRPr="00746366" w:rsidRDefault="00746366" w:rsidP="00746366">
            <w:pPr>
              <w:overflowPunct/>
              <w:autoSpaceDE/>
              <w:autoSpaceDN/>
              <w:adjustRightInd/>
              <w:spacing w:after="0"/>
              <w:ind w:firstLine="0"/>
              <w:jc w:val="center"/>
              <w:textAlignment w:val="auto"/>
              <w:rPr>
                <w:b/>
                <w:bCs/>
                <w:szCs w:val="22"/>
                <w:lang w:val="lv-LV"/>
              </w:rPr>
            </w:pPr>
            <w:r w:rsidRPr="00746366">
              <w:rPr>
                <w:b/>
                <w:bCs/>
                <w:sz w:val="22"/>
                <w:szCs w:val="22"/>
                <w:lang w:val="lv-LV"/>
              </w:rPr>
              <w:t>140 157</w:t>
            </w:r>
          </w:p>
        </w:tc>
      </w:tr>
    </w:tbl>
    <w:p w:rsidR="00746366" w:rsidRPr="000351BA" w:rsidRDefault="00746366" w:rsidP="000351BA">
      <w:pPr>
        <w:rPr>
          <w:noProof/>
          <w:sz w:val="28"/>
          <w:szCs w:val="28"/>
          <w:highlight w:val="yellow"/>
          <w:lang w:bidi="yi-Hebr"/>
        </w:rPr>
      </w:pPr>
    </w:p>
    <w:p w:rsidR="009933F5" w:rsidRPr="00E20097" w:rsidRDefault="00500ED5" w:rsidP="009933F5">
      <w:pPr>
        <w:overflowPunct/>
        <w:autoSpaceDE/>
        <w:autoSpaceDN/>
        <w:adjustRightInd/>
        <w:spacing w:after="0"/>
        <w:textAlignment w:val="auto"/>
        <w:rPr>
          <w:noProof/>
          <w:sz w:val="28"/>
          <w:szCs w:val="28"/>
          <w:lang w:bidi="yi-Hebr"/>
        </w:rPr>
      </w:pPr>
      <w:r w:rsidRPr="002C6B7D">
        <w:rPr>
          <w:noProof/>
          <w:sz w:val="28"/>
          <w:szCs w:val="28"/>
          <w:lang w:bidi="yi-Hebr"/>
        </w:rPr>
        <w:t>Finansējuma ietaupījums radās arī tādēļ, ka</w:t>
      </w:r>
      <w:r w:rsidR="00B1459D" w:rsidRPr="002C6B7D">
        <w:t xml:space="preserve"> </w:t>
      </w:r>
      <w:r w:rsidR="00B1459D" w:rsidRPr="002C6B7D">
        <w:rPr>
          <w:noProof/>
          <w:sz w:val="28"/>
          <w:szCs w:val="28"/>
          <w:lang w:bidi="yi-Hebr"/>
        </w:rPr>
        <w:t>Rīgas pilsētas</w:t>
      </w:r>
      <w:r w:rsidRPr="002C6B7D">
        <w:rPr>
          <w:noProof/>
          <w:sz w:val="28"/>
          <w:szCs w:val="28"/>
          <w:lang w:bidi="yi-Hebr"/>
        </w:rPr>
        <w:t xml:space="preserve"> </w:t>
      </w:r>
      <w:r w:rsidR="00B1459D" w:rsidRPr="002C6B7D">
        <w:rPr>
          <w:noProof/>
          <w:sz w:val="28"/>
          <w:szCs w:val="28"/>
          <w:lang w:bidi="yi-Hebr"/>
        </w:rPr>
        <w:t xml:space="preserve">pašvaldība un </w:t>
      </w:r>
      <w:r w:rsidRPr="002C6B7D">
        <w:rPr>
          <w:noProof/>
          <w:sz w:val="28"/>
          <w:szCs w:val="28"/>
          <w:lang w:bidi="yi-Hebr"/>
        </w:rPr>
        <w:t xml:space="preserve">Pierīgas reģiona pašvaldības </w:t>
      </w:r>
      <w:r w:rsidR="00B93687" w:rsidRPr="002C6B7D">
        <w:rPr>
          <w:noProof/>
          <w:sz w:val="28"/>
          <w:szCs w:val="28"/>
          <w:lang w:bidi="yi-Hebr"/>
        </w:rPr>
        <w:t xml:space="preserve">lielākoties </w:t>
      </w:r>
      <w:r w:rsidRPr="002C6B7D">
        <w:rPr>
          <w:noProof/>
          <w:sz w:val="28"/>
          <w:szCs w:val="28"/>
          <w:lang w:bidi="yi-Hebr"/>
        </w:rPr>
        <w:t>neizmantoja nakstm</w:t>
      </w:r>
      <w:r w:rsidR="00B1459D" w:rsidRPr="002C6B7D">
        <w:rPr>
          <w:noProof/>
          <w:sz w:val="28"/>
          <w:szCs w:val="28"/>
          <w:lang w:bidi="yi-Hebr"/>
        </w:rPr>
        <w:t xml:space="preserve">ītņu pakalpojumus </w:t>
      </w:r>
      <w:r w:rsidR="00B93687" w:rsidRPr="002C6B7D">
        <w:rPr>
          <w:noProof/>
          <w:sz w:val="28"/>
          <w:szCs w:val="28"/>
          <w:lang w:bidi="yi-Hebr"/>
        </w:rPr>
        <w:t>Rīgas pilsētā</w:t>
      </w:r>
      <w:r w:rsidR="00B1459D" w:rsidRPr="002C6B7D">
        <w:rPr>
          <w:noProof/>
          <w:sz w:val="28"/>
          <w:szCs w:val="28"/>
          <w:lang w:bidi="yi-Hebr"/>
        </w:rPr>
        <w:t xml:space="preserve"> Svētku laikā</w:t>
      </w:r>
      <w:r w:rsidR="00B93687" w:rsidRPr="002C6B7D">
        <w:rPr>
          <w:noProof/>
          <w:sz w:val="28"/>
          <w:szCs w:val="28"/>
          <w:lang w:bidi="yi-Hebr"/>
        </w:rPr>
        <w:t>.</w:t>
      </w:r>
    </w:p>
    <w:p w:rsidR="00F06DBE" w:rsidRPr="00F31801" w:rsidRDefault="009933F5" w:rsidP="009432E1">
      <w:pPr>
        <w:rPr>
          <w:rFonts w:ascii="Calibri" w:hAnsi="Calibri"/>
          <w:sz w:val="22"/>
          <w:szCs w:val="22"/>
          <w:lang w:bidi="yi-Hebr"/>
        </w:rPr>
      </w:pPr>
      <w:r w:rsidRPr="00E20097">
        <w:rPr>
          <w:noProof/>
          <w:sz w:val="28"/>
          <w:szCs w:val="28"/>
          <w:lang w:bidi="yi-Hebr"/>
        </w:rPr>
        <w:t>Detalizēti veiktās uzskaites rezultātā augstākminētajam mērķim tika izlietots mazāk sākotnēji plānoto un valsts budžeta pieprasījumā piešķirto budžeta līdzekļu.</w:t>
      </w:r>
      <w:r w:rsidR="006008E7" w:rsidRPr="00E20097">
        <w:rPr>
          <w:noProof/>
          <w:sz w:val="28"/>
          <w:szCs w:val="28"/>
          <w:lang w:bidi="yi-Hebr"/>
        </w:rPr>
        <w:t xml:space="preserve"> </w:t>
      </w:r>
      <w:r w:rsidRPr="00E20097">
        <w:rPr>
          <w:noProof/>
          <w:sz w:val="28"/>
          <w:szCs w:val="28"/>
          <w:lang w:bidi="yi-Hebr"/>
        </w:rPr>
        <w:t xml:space="preserve">No piešķirtā valsts budžeta finansējuma Svētku dalībnieku naktsmītņu un ēdināšanas izdevumu segšanai </w:t>
      </w:r>
      <w:r w:rsidR="006008E7" w:rsidRPr="00E20097">
        <w:rPr>
          <w:noProof/>
          <w:sz w:val="28"/>
          <w:szCs w:val="28"/>
          <w:lang w:bidi="yi-Hebr"/>
        </w:rPr>
        <w:t>975</w:t>
      </w:r>
      <w:r w:rsidR="00A272D7" w:rsidRPr="00E20097">
        <w:rPr>
          <w:noProof/>
          <w:sz w:val="28"/>
          <w:szCs w:val="28"/>
          <w:lang w:bidi="yi-Hebr"/>
        </w:rPr>
        <w:t> </w:t>
      </w:r>
      <w:r w:rsidR="006008E7" w:rsidRPr="00E20097">
        <w:rPr>
          <w:noProof/>
          <w:sz w:val="28"/>
          <w:szCs w:val="28"/>
          <w:lang w:bidi="yi-Hebr"/>
        </w:rPr>
        <w:t xml:space="preserve">000 </w:t>
      </w:r>
      <w:r w:rsidR="00A272D7" w:rsidRPr="00E20097">
        <w:rPr>
          <w:noProof/>
          <w:sz w:val="28"/>
          <w:szCs w:val="28"/>
          <w:lang w:bidi="yi-Hebr"/>
        </w:rPr>
        <w:t xml:space="preserve">LVL </w:t>
      </w:r>
      <w:r w:rsidRPr="00E20097">
        <w:rPr>
          <w:noProof/>
          <w:sz w:val="28"/>
          <w:szCs w:val="28"/>
          <w:lang w:bidi="yi-Hebr"/>
        </w:rPr>
        <w:t>apmērā tika izlietoti finanšu līdzekļi</w:t>
      </w:r>
      <w:r w:rsidR="009A4DDC" w:rsidRPr="00E20097">
        <w:rPr>
          <w:noProof/>
          <w:sz w:val="28"/>
          <w:szCs w:val="28"/>
          <w:lang w:bidi="yi-Hebr"/>
        </w:rPr>
        <w:t xml:space="preserve"> </w:t>
      </w:r>
      <w:r w:rsidR="005B681A" w:rsidRPr="00E20097">
        <w:rPr>
          <w:noProof/>
          <w:sz w:val="28"/>
          <w:szCs w:val="28"/>
          <w:lang w:bidi="yi-Hebr"/>
        </w:rPr>
        <w:t xml:space="preserve">834 843 </w:t>
      </w:r>
      <w:r w:rsidR="00A272D7" w:rsidRPr="00E20097">
        <w:rPr>
          <w:noProof/>
          <w:sz w:val="28"/>
          <w:szCs w:val="28"/>
          <w:lang w:bidi="yi-Hebr"/>
        </w:rPr>
        <w:t xml:space="preserve">LVL </w:t>
      </w:r>
      <w:r w:rsidR="009A4DDC" w:rsidRPr="00E20097">
        <w:rPr>
          <w:noProof/>
          <w:sz w:val="28"/>
          <w:szCs w:val="28"/>
          <w:lang w:bidi="yi-Hebr"/>
        </w:rPr>
        <w:t>apmērā</w:t>
      </w:r>
      <w:r w:rsidR="000F047B" w:rsidRPr="00E20097">
        <w:rPr>
          <w:noProof/>
          <w:sz w:val="28"/>
          <w:szCs w:val="28"/>
          <w:lang w:bidi="yi-Hebr"/>
        </w:rPr>
        <w:t>,</w:t>
      </w:r>
      <w:r w:rsidR="009A4DDC" w:rsidRPr="00E20097">
        <w:rPr>
          <w:noProof/>
          <w:sz w:val="28"/>
          <w:szCs w:val="28"/>
          <w:lang w:bidi="yi-Hebr"/>
        </w:rPr>
        <w:t xml:space="preserve"> neizlietotais finansējums </w:t>
      </w:r>
      <w:r w:rsidR="009432E1">
        <w:rPr>
          <w:noProof/>
          <w:sz w:val="28"/>
          <w:szCs w:val="28"/>
          <w:lang w:bidi="yi-Hebr"/>
        </w:rPr>
        <w:t>kopā ir</w:t>
      </w:r>
      <w:r w:rsidR="008A2BD6" w:rsidRPr="00E20097">
        <w:rPr>
          <w:rFonts w:asciiTheme="majorBidi" w:hAnsiTheme="majorBidi" w:cstheme="majorBidi"/>
          <w:sz w:val="28"/>
          <w:szCs w:val="28"/>
          <w:lang w:bidi="yi-Hebr"/>
        </w:rPr>
        <w:t> 140 </w:t>
      </w:r>
      <w:r w:rsidR="00966D59" w:rsidRPr="00E20097">
        <w:rPr>
          <w:rFonts w:asciiTheme="majorBidi" w:hAnsiTheme="majorBidi" w:cstheme="majorBidi"/>
          <w:sz w:val="28"/>
          <w:szCs w:val="28"/>
          <w:lang w:bidi="yi-Hebr"/>
        </w:rPr>
        <w:t>15</w:t>
      </w:r>
      <w:r w:rsidR="005B681A" w:rsidRPr="00E20097">
        <w:rPr>
          <w:rFonts w:asciiTheme="majorBidi" w:hAnsiTheme="majorBidi" w:cstheme="majorBidi"/>
          <w:sz w:val="28"/>
          <w:szCs w:val="28"/>
          <w:lang w:bidi="yi-Hebr"/>
        </w:rPr>
        <w:t>7</w:t>
      </w:r>
      <w:r w:rsidR="00A272D7" w:rsidRPr="00E20097">
        <w:rPr>
          <w:noProof/>
          <w:sz w:val="28"/>
          <w:szCs w:val="28"/>
          <w:lang w:bidi="yi-Hebr"/>
        </w:rPr>
        <w:t> LVL</w:t>
      </w:r>
      <w:r w:rsidR="00320BA5">
        <w:rPr>
          <w:noProof/>
          <w:sz w:val="28"/>
          <w:szCs w:val="28"/>
          <w:lang w:bidi="yi-Hebr"/>
        </w:rPr>
        <w:t xml:space="preserve"> (skat 1.2.tabula)</w:t>
      </w:r>
      <w:r w:rsidRPr="00E20097">
        <w:rPr>
          <w:noProof/>
          <w:sz w:val="28"/>
          <w:szCs w:val="28"/>
          <w:lang w:bidi="yi-Hebr"/>
        </w:rPr>
        <w:t>.</w:t>
      </w:r>
    </w:p>
    <w:p w:rsidR="00EB7E8D" w:rsidRPr="00F31801" w:rsidRDefault="00EB7E8D" w:rsidP="006376D9">
      <w:pPr>
        <w:spacing w:after="0"/>
        <w:ind w:firstLine="0"/>
        <w:rPr>
          <w:b/>
          <w:noProof/>
          <w:sz w:val="28"/>
          <w:szCs w:val="28"/>
          <w:lang w:bidi="yi-Hebr"/>
        </w:rPr>
      </w:pPr>
    </w:p>
    <w:p w:rsidR="005405F8" w:rsidRPr="00F31801" w:rsidRDefault="00BF16A2" w:rsidP="00033DFA">
      <w:pPr>
        <w:ind w:left="1276" w:hanging="556"/>
        <w:jc w:val="center"/>
        <w:rPr>
          <w:b/>
          <w:noProof/>
          <w:sz w:val="28"/>
          <w:szCs w:val="28"/>
          <w:lang w:bidi="yi-Hebr"/>
        </w:rPr>
      </w:pPr>
      <w:r w:rsidRPr="00F31801">
        <w:rPr>
          <w:b/>
          <w:noProof/>
          <w:sz w:val="28"/>
          <w:szCs w:val="28"/>
          <w:lang w:bidi="yi-Hebr"/>
        </w:rPr>
        <w:t>I</w:t>
      </w:r>
      <w:r w:rsidR="005E1A61" w:rsidRPr="00F31801">
        <w:rPr>
          <w:b/>
          <w:noProof/>
          <w:sz w:val="28"/>
          <w:szCs w:val="28"/>
          <w:lang w:bidi="yi-Hebr"/>
        </w:rPr>
        <w:t xml:space="preserve">I. </w:t>
      </w:r>
      <w:r w:rsidR="008E534A">
        <w:rPr>
          <w:b/>
          <w:noProof/>
          <w:sz w:val="28"/>
          <w:szCs w:val="28"/>
          <w:lang w:bidi="yi-Hebr"/>
        </w:rPr>
        <w:t>Priekšlikums par neapgūtā</w:t>
      </w:r>
      <w:r w:rsidR="008E534A" w:rsidRPr="00F31801">
        <w:rPr>
          <w:b/>
          <w:noProof/>
          <w:sz w:val="28"/>
          <w:szCs w:val="28"/>
          <w:lang w:bidi="yi-Hebr"/>
        </w:rPr>
        <w:t xml:space="preserve"> </w:t>
      </w:r>
      <w:r w:rsidR="005E1A61" w:rsidRPr="00F31801">
        <w:rPr>
          <w:b/>
          <w:noProof/>
          <w:sz w:val="28"/>
          <w:szCs w:val="28"/>
          <w:lang w:bidi="yi-Hebr"/>
        </w:rPr>
        <w:t xml:space="preserve">finansējuma </w:t>
      </w:r>
      <w:r w:rsidR="008E534A">
        <w:rPr>
          <w:b/>
          <w:noProof/>
          <w:sz w:val="28"/>
          <w:szCs w:val="28"/>
          <w:lang w:bidi="yi-Hebr"/>
        </w:rPr>
        <w:t>izlietojumu</w:t>
      </w:r>
    </w:p>
    <w:p w:rsidR="00033DFA" w:rsidRPr="001C329B" w:rsidRDefault="00033DFA" w:rsidP="00033DFA">
      <w:pPr>
        <w:spacing w:after="0"/>
        <w:rPr>
          <w:noProof/>
          <w:sz w:val="28"/>
          <w:szCs w:val="28"/>
          <w:lang w:bidi="yi-Hebr"/>
        </w:rPr>
      </w:pPr>
      <w:r w:rsidRPr="00F31801">
        <w:rPr>
          <w:noProof/>
          <w:sz w:val="28"/>
          <w:szCs w:val="28"/>
          <w:lang w:bidi="yi-Hebr"/>
        </w:rPr>
        <w:t xml:space="preserve"> Svētku 62 pasākumu mākslinieciski augstvērtīgo</w:t>
      </w:r>
      <w:r w:rsidR="009A4DDC" w:rsidRPr="00F31801">
        <w:rPr>
          <w:noProof/>
          <w:sz w:val="28"/>
          <w:szCs w:val="28"/>
          <w:lang w:bidi="yi-Hebr"/>
        </w:rPr>
        <w:t xml:space="preserve"> </w:t>
      </w:r>
      <w:r w:rsidRPr="00F31801">
        <w:rPr>
          <w:noProof/>
          <w:sz w:val="28"/>
          <w:szCs w:val="28"/>
          <w:lang w:bidi="yi-Hebr"/>
        </w:rPr>
        <w:t xml:space="preserve">kvalitāti apliecināja sabiedrības </w:t>
      </w:r>
      <w:r w:rsidRPr="001C329B">
        <w:rPr>
          <w:noProof/>
          <w:sz w:val="28"/>
          <w:szCs w:val="28"/>
          <w:lang w:bidi="yi-Hebr"/>
        </w:rPr>
        <w:t xml:space="preserve">ārkārtīgi lielā interse un pasākumu apmeklētība (svētku 21 maksas un 41 bezmaksas pasākumus kopā apmeklēja apmēram 500000 interesenti; maksas pasākumos izpirkti 96% biļešu – svētkos līdz šim augstākais rādītājs). Svētku </w:t>
      </w:r>
      <w:r w:rsidRPr="001C329B">
        <w:rPr>
          <w:noProof/>
          <w:sz w:val="28"/>
          <w:szCs w:val="28"/>
          <w:lang w:bidi="yi-Hebr"/>
        </w:rPr>
        <w:lastRenderedPageBreak/>
        <w:t>mākslinieciskā kvalitāte lielā mērā ir atkarīga no regulāra svētku dalībnieku jeb amatieru māksliniecisko kolektīvu darba svētku starplaikā, piedaloties iknedēļas mēģinājumos, vietēja, reģionāla un nacionāla līmeņa starpsvētku pasākumos, kopmēģinājumos, skatēs u.c.</w:t>
      </w:r>
    </w:p>
    <w:p w:rsidR="009432E1" w:rsidRPr="001C329B" w:rsidRDefault="00033DFA" w:rsidP="009432E1">
      <w:pPr>
        <w:spacing w:after="0"/>
        <w:rPr>
          <w:noProof/>
          <w:sz w:val="28"/>
          <w:szCs w:val="28"/>
          <w:lang w:bidi="yi-Hebr"/>
        </w:rPr>
      </w:pPr>
      <w:r w:rsidRPr="001C329B">
        <w:rPr>
          <w:noProof/>
          <w:sz w:val="28"/>
          <w:szCs w:val="28"/>
          <w:lang w:bidi="yi-Hebr"/>
        </w:rPr>
        <w:t xml:space="preserve">Līdzās kopdziedāšanai (īpaši </w:t>
      </w:r>
      <w:r w:rsidRPr="001C329B">
        <w:rPr>
          <w:i/>
          <w:noProof/>
          <w:sz w:val="28"/>
          <w:szCs w:val="28"/>
          <w:lang w:bidi="yi-Hebr"/>
        </w:rPr>
        <w:t xml:space="preserve">accapella </w:t>
      </w:r>
      <w:r w:rsidRPr="001C329B">
        <w:rPr>
          <w:noProof/>
          <w:sz w:val="28"/>
          <w:szCs w:val="28"/>
          <w:lang w:bidi="yi-Hebr"/>
        </w:rPr>
        <w:t>manierē) un kopā dejošanai, kas ir vēsturiskas Dziesmu un deju svētku tradīcijas sastāvdaļas, būtiskas tradīcijas iezīmes ir arī tautas tērpu valkāšana (raksturīga koriem, deju kolektīviem, koklētāju ansambļiem) un kopmuzicēšana vai individuālu programmu nodrošinājums (raksturīga pūtēju orķestriem un koklētāju anasmbļiem). Visu minēto elementu uzturēšana un savstarpēja sintēze sekmē Dziesmu un deju svētku tradīcijas kā UNESCO Cilvēces mutvārdu un nemateriālā kultūras mantojuma meistardarba</w:t>
      </w:r>
      <w:r w:rsidR="006B6CAE" w:rsidRPr="001C329B">
        <w:rPr>
          <w:noProof/>
          <w:sz w:val="28"/>
          <w:szCs w:val="28"/>
          <w:lang w:bidi="yi-Hebr"/>
        </w:rPr>
        <w:t xml:space="preserve"> (turpmāk – UNESCO meistardarb</w:t>
      </w:r>
      <w:r w:rsidR="00337F3A">
        <w:rPr>
          <w:noProof/>
          <w:sz w:val="28"/>
          <w:szCs w:val="28"/>
          <w:lang w:bidi="yi-Hebr"/>
        </w:rPr>
        <w:t>s</w:t>
      </w:r>
      <w:r w:rsidR="006B6CAE" w:rsidRPr="001C329B">
        <w:rPr>
          <w:noProof/>
          <w:sz w:val="28"/>
          <w:szCs w:val="28"/>
          <w:lang w:bidi="yi-Hebr"/>
        </w:rPr>
        <w:t xml:space="preserve">) </w:t>
      </w:r>
      <w:r w:rsidRPr="001C329B">
        <w:rPr>
          <w:noProof/>
          <w:sz w:val="28"/>
          <w:szCs w:val="28"/>
          <w:lang w:bidi="yi-Hebr"/>
        </w:rPr>
        <w:t xml:space="preserve"> ilgtspēju, par kuru kopīgi jārūpējas gan valsts, gan pašvaldību, gan privātajam sektoram un dalībniekiem.</w:t>
      </w:r>
    </w:p>
    <w:p w:rsidR="008A2BD6" w:rsidRPr="001C329B" w:rsidRDefault="001675AF" w:rsidP="009432E1">
      <w:pPr>
        <w:spacing w:after="0"/>
        <w:rPr>
          <w:noProof/>
          <w:sz w:val="28"/>
          <w:szCs w:val="28"/>
          <w:lang w:bidi="yi-Hebr"/>
        </w:rPr>
      </w:pPr>
      <w:r w:rsidRPr="001C329B">
        <w:rPr>
          <w:noProof/>
          <w:sz w:val="28"/>
          <w:szCs w:val="28"/>
          <w:lang w:bidi="yi-Hebr"/>
        </w:rPr>
        <w:t xml:space="preserve">Ņemot vērā to, ka valsts budžeta finansējums Svētku dalībnieku naktsmītņu un ēdināšanas izdevumu segšanai netika izmantots pilnībā, </w:t>
      </w:r>
      <w:r w:rsidR="00337F3A">
        <w:rPr>
          <w:noProof/>
          <w:sz w:val="28"/>
          <w:szCs w:val="28"/>
          <w:lang w:bidi="yi-Hebr"/>
        </w:rPr>
        <w:t xml:space="preserve">nepieciešams neapgūto </w:t>
      </w:r>
      <w:r w:rsidR="00033DFA" w:rsidRPr="001C329B">
        <w:rPr>
          <w:noProof/>
          <w:sz w:val="28"/>
          <w:szCs w:val="28"/>
          <w:lang w:bidi="yi-Hebr"/>
        </w:rPr>
        <w:t xml:space="preserve">valsts budžeta finansējumu </w:t>
      </w:r>
      <w:r w:rsidR="00966D59" w:rsidRPr="001C329B">
        <w:rPr>
          <w:rFonts w:asciiTheme="majorBidi" w:hAnsiTheme="majorBidi" w:cstheme="majorBidi"/>
          <w:sz w:val="28"/>
          <w:szCs w:val="28"/>
          <w:lang w:bidi="yi-Hebr"/>
        </w:rPr>
        <w:t>140 15</w:t>
      </w:r>
      <w:r w:rsidR="009432E1" w:rsidRPr="001C329B">
        <w:rPr>
          <w:rFonts w:asciiTheme="majorBidi" w:hAnsiTheme="majorBidi" w:cstheme="majorBidi"/>
          <w:sz w:val="28"/>
          <w:szCs w:val="28"/>
          <w:lang w:bidi="yi-Hebr"/>
        </w:rPr>
        <w:t>7</w:t>
      </w:r>
      <w:r w:rsidR="00966D59" w:rsidRPr="001C329B">
        <w:rPr>
          <w:rFonts w:ascii="Calibri" w:hAnsi="Calibri"/>
          <w:sz w:val="22"/>
          <w:szCs w:val="22"/>
          <w:lang w:bidi="yi-Hebr"/>
        </w:rPr>
        <w:t xml:space="preserve"> </w:t>
      </w:r>
      <w:r w:rsidR="00033DFA" w:rsidRPr="001C329B">
        <w:rPr>
          <w:noProof/>
          <w:sz w:val="28"/>
          <w:szCs w:val="28"/>
          <w:lang w:bidi="yi-Hebr"/>
        </w:rPr>
        <w:t xml:space="preserve">LVL apmērā </w:t>
      </w:r>
      <w:r w:rsidR="008E534A">
        <w:rPr>
          <w:noProof/>
          <w:sz w:val="28"/>
          <w:szCs w:val="28"/>
          <w:lang w:bidi="yi-Hebr"/>
        </w:rPr>
        <w:t>novirzīt</w:t>
      </w:r>
      <w:r w:rsidR="00033DFA" w:rsidRPr="001C329B">
        <w:rPr>
          <w:noProof/>
          <w:sz w:val="28"/>
          <w:szCs w:val="28"/>
          <w:lang w:bidi="yi-Hebr"/>
        </w:rPr>
        <w:t xml:space="preserve"> māksliniecisko kolektīvu dalībnieku tautas tērpu vai atsevišķu to detaļu iegādei, kā arī mūzikas instrumentu iegādei.</w:t>
      </w:r>
    </w:p>
    <w:p w:rsidR="00344998" w:rsidRPr="001C329B" w:rsidRDefault="008E534A" w:rsidP="00344998">
      <w:pPr>
        <w:spacing w:after="0"/>
        <w:rPr>
          <w:noProof/>
          <w:sz w:val="28"/>
          <w:szCs w:val="28"/>
          <w:lang w:bidi="yi-Hebr"/>
        </w:rPr>
      </w:pPr>
      <w:r>
        <w:rPr>
          <w:noProof/>
          <w:sz w:val="28"/>
          <w:szCs w:val="28"/>
          <w:lang w:bidi="yi-Hebr"/>
        </w:rPr>
        <w:t xml:space="preserve">Neapgūtā Svētku finansējuma novirzīšanu minētajam </w:t>
      </w:r>
      <w:r w:rsidR="00344998" w:rsidRPr="001C329B">
        <w:rPr>
          <w:noProof/>
          <w:sz w:val="28"/>
          <w:szCs w:val="28"/>
          <w:lang w:bidi="yi-Hebr"/>
        </w:rPr>
        <w:t xml:space="preserve"> mērķ</w:t>
      </w:r>
      <w:r>
        <w:rPr>
          <w:noProof/>
          <w:sz w:val="28"/>
          <w:szCs w:val="28"/>
          <w:lang w:bidi="yi-Hebr"/>
        </w:rPr>
        <w:t>im</w:t>
      </w:r>
      <w:r w:rsidR="008A0728">
        <w:rPr>
          <w:noProof/>
          <w:sz w:val="28"/>
          <w:szCs w:val="28"/>
          <w:lang w:bidi="yi-Hebr"/>
        </w:rPr>
        <w:t xml:space="preserve"> </w:t>
      </w:r>
      <w:r w:rsidR="00344998" w:rsidRPr="001C329B">
        <w:rPr>
          <w:noProof/>
          <w:sz w:val="28"/>
          <w:szCs w:val="28"/>
          <w:lang w:bidi="yi-Hebr"/>
        </w:rPr>
        <w:t>2013.gada 18.septembra sēdē konceptuāli ir atbalstījusi Dziesmu un deju svētku padome.</w:t>
      </w:r>
    </w:p>
    <w:p w:rsidR="00112E8D" w:rsidRPr="001C329B" w:rsidRDefault="008A2BD6" w:rsidP="00344998">
      <w:pPr>
        <w:spacing w:after="0"/>
        <w:rPr>
          <w:noProof/>
          <w:sz w:val="28"/>
          <w:szCs w:val="28"/>
          <w:lang w:bidi="yi-Hebr"/>
        </w:rPr>
      </w:pPr>
      <w:r w:rsidRPr="001C329B">
        <w:rPr>
          <w:noProof/>
          <w:sz w:val="28"/>
          <w:szCs w:val="28"/>
          <w:lang w:bidi="yi-Hebr"/>
        </w:rPr>
        <w:t xml:space="preserve">Iespēja </w:t>
      </w:r>
      <w:r w:rsidR="006B6CAE" w:rsidRPr="001C329B">
        <w:rPr>
          <w:noProof/>
          <w:sz w:val="28"/>
          <w:szCs w:val="28"/>
          <w:lang w:bidi="yi-Hebr"/>
        </w:rPr>
        <w:t xml:space="preserve">finansējumu novirzīt </w:t>
      </w:r>
      <w:r w:rsidRPr="001C329B">
        <w:rPr>
          <w:noProof/>
          <w:sz w:val="28"/>
          <w:szCs w:val="28"/>
          <w:lang w:bidi="yi-Hebr"/>
        </w:rPr>
        <w:t>tautas t</w:t>
      </w:r>
      <w:r w:rsidR="006B6CAE" w:rsidRPr="001C329B">
        <w:rPr>
          <w:noProof/>
          <w:sz w:val="28"/>
          <w:szCs w:val="28"/>
          <w:lang w:bidi="yi-Hebr"/>
        </w:rPr>
        <w:t>ērpu</w:t>
      </w:r>
      <w:r w:rsidRPr="001C329B">
        <w:rPr>
          <w:noProof/>
          <w:sz w:val="28"/>
          <w:szCs w:val="28"/>
          <w:lang w:bidi="yi-Hebr"/>
        </w:rPr>
        <w:t xml:space="preserve"> vai atsevišķ</w:t>
      </w:r>
      <w:r w:rsidR="006B6CAE" w:rsidRPr="001C329B">
        <w:rPr>
          <w:noProof/>
          <w:sz w:val="28"/>
          <w:szCs w:val="28"/>
          <w:lang w:bidi="yi-Hebr"/>
        </w:rPr>
        <w:t>u to</w:t>
      </w:r>
      <w:r w:rsidRPr="001C329B">
        <w:rPr>
          <w:noProof/>
          <w:sz w:val="28"/>
          <w:szCs w:val="28"/>
          <w:lang w:bidi="yi-Hebr"/>
        </w:rPr>
        <w:t xml:space="preserve"> deta</w:t>
      </w:r>
      <w:r w:rsidR="006B6CAE" w:rsidRPr="001C329B">
        <w:rPr>
          <w:noProof/>
          <w:sz w:val="28"/>
          <w:szCs w:val="28"/>
          <w:lang w:bidi="yi-Hebr"/>
        </w:rPr>
        <w:t>ļu iegādei</w:t>
      </w:r>
      <w:r w:rsidRPr="001C329B">
        <w:rPr>
          <w:noProof/>
          <w:sz w:val="28"/>
          <w:szCs w:val="28"/>
          <w:lang w:bidi="yi-Hebr"/>
        </w:rPr>
        <w:t xml:space="preserve"> ir nozīmīgs ieguldījums māksliniecisko </w:t>
      </w:r>
      <w:r w:rsidR="006B6CAE" w:rsidRPr="001C329B">
        <w:rPr>
          <w:noProof/>
          <w:sz w:val="28"/>
          <w:szCs w:val="28"/>
          <w:lang w:bidi="yi-Hebr"/>
        </w:rPr>
        <w:t xml:space="preserve">kolektīvu kvalitatīvai darbībai Dziesmu un deju svētku tradīcijas ilgstpējas kontekstā. </w:t>
      </w:r>
      <w:r w:rsidR="00112E8D" w:rsidRPr="001C329B">
        <w:rPr>
          <w:noProof/>
          <w:sz w:val="28"/>
          <w:szCs w:val="28"/>
          <w:lang w:bidi="yi-Hebr"/>
        </w:rPr>
        <w:t>Tradīcijai atbilstoša t</w:t>
      </w:r>
      <w:r w:rsidR="006B6CAE" w:rsidRPr="001C329B">
        <w:rPr>
          <w:noProof/>
          <w:sz w:val="28"/>
          <w:szCs w:val="28"/>
          <w:lang w:bidi="yi-Hebr"/>
        </w:rPr>
        <w:t>autas t</w:t>
      </w:r>
      <w:r w:rsidR="00112E8D" w:rsidRPr="001C329B">
        <w:rPr>
          <w:noProof/>
          <w:sz w:val="28"/>
          <w:szCs w:val="28"/>
          <w:lang w:bidi="yi-Hebr"/>
        </w:rPr>
        <w:t xml:space="preserve">ērpu izgatavošana un </w:t>
      </w:r>
      <w:r w:rsidR="006B6CAE" w:rsidRPr="001C329B">
        <w:rPr>
          <w:noProof/>
          <w:sz w:val="28"/>
          <w:szCs w:val="28"/>
          <w:lang w:bidi="yi-Hebr"/>
        </w:rPr>
        <w:t>valkāšana</w:t>
      </w:r>
      <w:r w:rsidR="00112E8D" w:rsidRPr="001C329B">
        <w:rPr>
          <w:noProof/>
          <w:sz w:val="28"/>
          <w:szCs w:val="28"/>
          <w:lang w:bidi="yi-Hebr"/>
        </w:rPr>
        <w:t xml:space="preserve"> </w:t>
      </w:r>
      <w:r w:rsidR="006B6CAE" w:rsidRPr="001C329B">
        <w:rPr>
          <w:noProof/>
          <w:sz w:val="28"/>
          <w:szCs w:val="28"/>
          <w:lang w:bidi="yi-Hebr"/>
        </w:rPr>
        <w:t>ir viens no kritēri</w:t>
      </w:r>
      <w:r w:rsidR="00583C14" w:rsidRPr="001C329B">
        <w:rPr>
          <w:noProof/>
          <w:sz w:val="28"/>
          <w:szCs w:val="28"/>
          <w:lang w:bidi="yi-Hebr"/>
        </w:rPr>
        <w:t>j</w:t>
      </w:r>
      <w:r w:rsidR="006B6CAE" w:rsidRPr="001C329B">
        <w:rPr>
          <w:noProof/>
          <w:sz w:val="28"/>
          <w:szCs w:val="28"/>
          <w:lang w:bidi="yi-Hebr"/>
        </w:rPr>
        <w:t>iem, kāpēc Dziesmu un deju svētku tradīcijas tika atzīta par UNESCO meistardarb</w:t>
      </w:r>
      <w:r w:rsidR="00583C14" w:rsidRPr="001C329B">
        <w:rPr>
          <w:noProof/>
          <w:sz w:val="28"/>
          <w:szCs w:val="28"/>
          <w:lang w:bidi="yi-Hebr"/>
        </w:rPr>
        <w:t>u</w:t>
      </w:r>
      <w:r w:rsidR="006B6CAE" w:rsidRPr="001C329B">
        <w:rPr>
          <w:noProof/>
          <w:sz w:val="28"/>
          <w:szCs w:val="28"/>
          <w:lang w:bidi="yi-Hebr"/>
        </w:rPr>
        <w:t>.</w:t>
      </w:r>
      <w:r w:rsidR="00583C14" w:rsidRPr="001C329B">
        <w:rPr>
          <w:noProof/>
          <w:sz w:val="28"/>
          <w:szCs w:val="28"/>
          <w:lang w:bidi="yi-Hebr"/>
        </w:rPr>
        <w:t xml:space="preserve"> </w:t>
      </w:r>
      <w:r w:rsidR="00112E8D" w:rsidRPr="001C329B">
        <w:rPr>
          <w:noProof/>
          <w:sz w:val="28"/>
          <w:szCs w:val="28"/>
          <w:lang w:bidi="yi-Hebr"/>
        </w:rPr>
        <w:t>Tāpēc Dziesmu un deju svētku tradīcijas saglabāšanā un attīstībā iesaistītajiem mākslinieciskajiem kolektīviem tautas tērpi ir nepieciešamība tradīcijas korektai reprezentācijai gan Latvijā, gan ārpus tās.</w:t>
      </w:r>
      <w:r w:rsidR="00F31801" w:rsidRPr="001C329B">
        <w:rPr>
          <w:noProof/>
          <w:sz w:val="28"/>
          <w:szCs w:val="28"/>
          <w:lang w:bidi="yi-Hebr"/>
        </w:rPr>
        <w:t xml:space="preserve"> </w:t>
      </w:r>
      <w:r w:rsidR="00112E8D" w:rsidRPr="001C329B">
        <w:rPr>
          <w:noProof/>
          <w:sz w:val="28"/>
          <w:szCs w:val="28"/>
          <w:lang w:bidi="yi-Hebr"/>
        </w:rPr>
        <w:t xml:space="preserve">Dziesmu un deju svētku tradīcijā vēsturiski ir iesaistīti arī instrumentālās mūzikas (pūtēju orķestri, koklētāju ansambļi) kolektīvi, kuru galvenais faktors tradīcijas atspoguļojumam </w:t>
      </w:r>
      <w:r w:rsidR="00F31801" w:rsidRPr="001C329B">
        <w:rPr>
          <w:noProof/>
          <w:sz w:val="28"/>
          <w:szCs w:val="28"/>
          <w:lang w:bidi="yi-Hebr"/>
        </w:rPr>
        <w:t>(s</w:t>
      </w:r>
      <w:r w:rsidR="00112E8D" w:rsidRPr="001C329B">
        <w:rPr>
          <w:noProof/>
          <w:sz w:val="28"/>
          <w:szCs w:val="28"/>
          <w:lang w:bidi="yi-Hebr"/>
        </w:rPr>
        <w:t xml:space="preserve">olo vai kolektīvā) ir kvalitatīvs mūzikas instruments. </w:t>
      </w:r>
      <w:r w:rsidR="00F31801" w:rsidRPr="001C329B">
        <w:rPr>
          <w:noProof/>
          <w:sz w:val="28"/>
          <w:szCs w:val="28"/>
          <w:lang w:bidi="yi-Hebr"/>
        </w:rPr>
        <w:t>Gan tautas t</w:t>
      </w:r>
      <w:r w:rsidR="00344998" w:rsidRPr="001C329B">
        <w:rPr>
          <w:noProof/>
          <w:sz w:val="28"/>
          <w:szCs w:val="28"/>
          <w:lang w:bidi="yi-Hebr"/>
        </w:rPr>
        <w:t xml:space="preserve">ērpi vai </w:t>
      </w:r>
      <w:r w:rsidR="00F31801" w:rsidRPr="001C329B">
        <w:rPr>
          <w:noProof/>
          <w:sz w:val="28"/>
          <w:szCs w:val="28"/>
          <w:lang w:bidi="yi-Hebr"/>
        </w:rPr>
        <w:t>to deta</w:t>
      </w:r>
      <w:r w:rsidR="00344998" w:rsidRPr="001C329B">
        <w:rPr>
          <w:noProof/>
          <w:sz w:val="28"/>
          <w:szCs w:val="28"/>
          <w:lang w:bidi="yi-Hebr"/>
        </w:rPr>
        <w:t>ļas</w:t>
      </w:r>
      <w:r w:rsidR="00F31801" w:rsidRPr="001C329B">
        <w:rPr>
          <w:noProof/>
          <w:sz w:val="28"/>
          <w:szCs w:val="28"/>
          <w:lang w:bidi="yi-Hebr"/>
        </w:rPr>
        <w:t xml:space="preserve">, gan mūzikas instrumenti ir </w:t>
      </w:r>
      <w:r w:rsidR="00344998" w:rsidRPr="001C329B">
        <w:rPr>
          <w:noProof/>
          <w:sz w:val="28"/>
          <w:szCs w:val="28"/>
          <w:lang w:bidi="yi-Hebr"/>
        </w:rPr>
        <w:t xml:space="preserve">ilgermiņa ieguldījums </w:t>
      </w:r>
      <w:r w:rsidR="00F31801" w:rsidRPr="001C329B">
        <w:rPr>
          <w:noProof/>
          <w:sz w:val="28"/>
          <w:szCs w:val="28"/>
          <w:lang w:bidi="yi-Hebr"/>
        </w:rPr>
        <w:t>konkrēt</w:t>
      </w:r>
      <w:r w:rsidR="00344998" w:rsidRPr="001C329B">
        <w:rPr>
          <w:noProof/>
          <w:sz w:val="28"/>
          <w:szCs w:val="28"/>
          <w:lang w:bidi="yi-Hebr"/>
        </w:rPr>
        <w:t>u</w:t>
      </w:r>
      <w:r w:rsidR="00F31801" w:rsidRPr="001C329B">
        <w:rPr>
          <w:noProof/>
          <w:sz w:val="28"/>
          <w:szCs w:val="28"/>
          <w:lang w:bidi="yi-Hebr"/>
        </w:rPr>
        <w:t xml:space="preserve"> </w:t>
      </w:r>
      <w:r w:rsidR="00344998" w:rsidRPr="001C329B">
        <w:rPr>
          <w:noProof/>
          <w:sz w:val="28"/>
          <w:szCs w:val="28"/>
          <w:lang w:bidi="yi-Hebr"/>
        </w:rPr>
        <w:t xml:space="preserve">Latvijas mākslinieicsko </w:t>
      </w:r>
      <w:r w:rsidR="00F31801" w:rsidRPr="001C329B">
        <w:rPr>
          <w:noProof/>
          <w:sz w:val="28"/>
          <w:szCs w:val="28"/>
          <w:lang w:bidi="yi-Hebr"/>
        </w:rPr>
        <w:t>kolektīva darbīb</w:t>
      </w:r>
      <w:r w:rsidR="00344998" w:rsidRPr="001C329B">
        <w:rPr>
          <w:noProof/>
          <w:sz w:val="28"/>
          <w:szCs w:val="28"/>
          <w:lang w:bidi="yi-Hebr"/>
        </w:rPr>
        <w:t>ā.</w:t>
      </w:r>
    </w:p>
    <w:p w:rsidR="00344998" w:rsidRPr="001C329B" w:rsidRDefault="00927617" w:rsidP="004773F9">
      <w:pPr>
        <w:spacing w:after="0"/>
        <w:rPr>
          <w:noProof/>
          <w:sz w:val="28"/>
          <w:szCs w:val="28"/>
          <w:lang w:bidi="yi-Hebr"/>
        </w:rPr>
      </w:pPr>
      <w:r w:rsidRPr="001C329B">
        <w:rPr>
          <w:noProof/>
          <w:sz w:val="28"/>
          <w:szCs w:val="28"/>
          <w:lang w:bidi="yi-Hebr"/>
        </w:rPr>
        <w:t>Finansējumu</w:t>
      </w:r>
      <w:r w:rsidR="00C5222B" w:rsidRPr="001C329B">
        <w:rPr>
          <w:noProof/>
          <w:sz w:val="28"/>
          <w:szCs w:val="28"/>
          <w:lang w:bidi="yi-Hebr"/>
        </w:rPr>
        <w:t xml:space="preserve"> </w:t>
      </w:r>
      <w:r w:rsidRPr="001C329B">
        <w:rPr>
          <w:noProof/>
          <w:sz w:val="28"/>
          <w:szCs w:val="28"/>
          <w:lang w:bidi="yi-Hebr"/>
        </w:rPr>
        <w:t>plānots</w:t>
      </w:r>
      <w:r w:rsidR="00C5222B" w:rsidRPr="001C329B">
        <w:rPr>
          <w:noProof/>
          <w:sz w:val="28"/>
          <w:szCs w:val="28"/>
          <w:lang w:bidi="yi-Hebr"/>
        </w:rPr>
        <w:t xml:space="preserve"> </w:t>
      </w:r>
      <w:r w:rsidRPr="001C329B">
        <w:rPr>
          <w:noProof/>
          <w:sz w:val="28"/>
          <w:szCs w:val="28"/>
          <w:lang w:bidi="yi-Hebr"/>
        </w:rPr>
        <w:t>piešķirt</w:t>
      </w:r>
      <w:r w:rsidR="00C5222B" w:rsidRPr="001C329B">
        <w:rPr>
          <w:noProof/>
          <w:sz w:val="28"/>
          <w:szCs w:val="28"/>
          <w:lang w:bidi="yi-Hebr"/>
        </w:rPr>
        <w:t xml:space="preserve"> </w:t>
      </w:r>
      <w:r w:rsidR="004773F9" w:rsidRPr="001C329B">
        <w:rPr>
          <w:noProof/>
          <w:sz w:val="28"/>
          <w:szCs w:val="28"/>
          <w:lang w:bidi="yi-Hebr"/>
        </w:rPr>
        <w:t xml:space="preserve">mākslinieciskajā kvalitātē </w:t>
      </w:r>
      <w:r w:rsidR="008E534A">
        <w:rPr>
          <w:noProof/>
          <w:sz w:val="28"/>
          <w:szCs w:val="28"/>
          <w:lang w:bidi="yi-Hebr"/>
        </w:rPr>
        <w:t>labākajiem</w:t>
      </w:r>
      <w:r w:rsidR="008E534A" w:rsidRPr="001C329B">
        <w:rPr>
          <w:noProof/>
          <w:sz w:val="28"/>
          <w:szCs w:val="28"/>
          <w:lang w:bidi="yi-Hebr"/>
        </w:rPr>
        <w:t xml:space="preserve"> </w:t>
      </w:r>
      <w:r w:rsidR="00C5222B" w:rsidRPr="001C329B">
        <w:rPr>
          <w:noProof/>
          <w:sz w:val="28"/>
          <w:szCs w:val="28"/>
          <w:lang w:bidi="yi-Hebr"/>
        </w:rPr>
        <w:t>p</w:t>
      </w:r>
      <w:r w:rsidR="00023ED6" w:rsidRPr="001C329B">
        <w:rPr>
          <w:noProof/>
          <w:sz w:val="28"/>
          <w:szCs w:val="28"/>
          <w:lang w:bidi="yi-Hebr"/>
        </w:rPr>
        <w:t>ašvaldību teritorijās esošajiem mākslinieciskajiem kolektīviem</w:t>
      </w:r>
      <w:r w:rsidR="009F25F1" w:rsidRPr="001C329B">
        <w:rPr>
          <w:noProof/>
          <w:sz w:val="28"/>
          <w:szCs w:val="28"/>
          <w:lang w:bidi="yi-Hebr"/>
        </w:rPr>
        <w:t xml:space="preserve"> Rīgā un Latvijas reģionos </w:t>
      </w:r>
      <w:r w:rsidR="00033DFA" w:rsidRPr="001C329B">
        <w:rPr>
          <w:noProof/>
          <w:sz w:val="28"/>
          <w:szCs w:val="28"/>
          <w:lang w:bidi="yi-Hebr"/>
        </w:rPr>
        <w:t>– koriem, deju kolektīviem, pūtēju orķestriem un koklētāju ansambļiem</w:t>
      </w:r>
      <w:r w:rsidR="00023ED6" w:rsidRPr="001C329B">
        <w:rPr>
          <w:noProof/>
          <w:sz w:val="28"/>
          <w:szCs w:val="28"/>
          <w:lang w:bidi="yi-Hebr"/>
        </w:rPr>
        <w:t xml:space="preserve">, kuri </w:t>
      </w:r>
      <w:r w:rsidR="004773F9" w:rsidRPr="001C329B">
        <w:rPr>
          <w:noProof/>
          <w:sz w:val="28"/>
          <w:szCs w:val="28"/>
          <w:lang w:bidi="yi-Hebr"/>
        </w:rPr>
        <w:t>gatavoja un Svētku pasākumos izpildīja</w:t>
      </w:r>
      <w:r w:rsidR="00033DFA" w:rsidRPr="001C329B">
        <w:rPr>
          <w:noProof/>
          <w:sz w:val="28"/>
          <w:szCs w:val="28"/>
          <w:lang w:bidi="yi-Hebr"/>
        </w:rPr>
        <w:t xml:space="preserve"> koprepertuāru un S</w:t>
      </w:r>
      <w:r w:rsidR="00C11331" w:rsidRPr="001C329B">
        <w:rPr>
          <w:noProof/>
          <w:sz w:val="28"/>
          <w:szCs w:val="28"/>
          <w:lang w:bidi="yi-Hebr"/>
        </w:rPr>
        <w:t>vētku fināla s</w:t>
      </w:r>
      <w:r w:rsidR="00EB7E8D" w:rsidRPr="001C329B">
        <w:rPr>
          <w:noProof/>
          <w:sz w:val="28"/>
          <w:szCs w:val="28"/>
          <w:lang w:bidi="yi-Hebr"/>
        </w:rPr>
        <w:t xml:space="preserve">katēs </w:t>
      </w:r>
      <w:r w:rsidR="00033DFA" w:rsidRPr="001C329B">
        <w:rPr>
          <w:noProof/>
          <w:sz w:val="28"/>
          <w:szCs w:val="28"/>
          <w:lang w:bidi="yi-Hebr"/>
        </w:rPr>
        <w:t>ieguva</w:t>
      </w:r>
      <w:r w:rsidRPr="001C329B">
        <w:rPr>
          <w:noProof/>
          <w:sz w:val="28"/>
          <w:szCs w:val="28"/>
          <w:lang w:bidi="yi-Hebr"/>
        </w:rPr>
        <w:t xml:space="preserve"> augstākās godalgotā</w:t>
      </w:r>
      <w:r w:rsidR="00344998" w:rsidRPr="001C329B">
        <w:rPr>
          <w:noProof/>
          <w:sz w:val="28"/>
          <w:szCs w:val="28"/>
          <w:lang w:bidi="yi-Hebr"/>
        </w:rPr>
        <w:t xml:space="preserve">s vietas </w:t>
      </w:r>
      <w:r w:rsidR="008E534A" w:rsidRPr="001C329B">
        <w:rPr>
          <w:noProof/>
          <w:sz w:val="28"/>
          <w:szCs w:val="28"/>
          <w:lang w:bidi="yi-Hebr"/>
        </w:rPr>
        <w:t>–</w:t>
      </w:r>
      <w:r w:rsidRPr="001C329B">
        <w:rPr>
          <w:noProof/>
          <w:sz w:val="28"/>
          <w:szCs w:val="28"/>
          <w:lang w:bidi="yi-Hebr"/>
        </w:rPr>
        <w:t xml:space="preserve"> Lielo</w:t>
      </w:r>
      <w:r w:rsidR="00344998" w:rsidRPr="001C329B">
        <w:rPr>
          <w:noProof/>
          <w:sz w:val="28"/>
          <w:szCs w:val="28"/>
          <w:lang w:bidi="yi-Hebr"/>
        </w:rPr>
        <w:t xml:space="preserve"> balvu</w:t>
      </w:r>
      <w:r w:rsidR="004773F9" w:rsidRPr="001C329B">
        <w:rPr>
          <w:noProof/>
          <w:sz w:val="28"/>
          <w:szCs w:val="28"/>
          <w:lang w:bidi="yi-Hebr"/>
        </w:rPr>
        <w:t xml:space="preserve">, </w:t>
      </w:r>
      <w:r w:rsidR="00344998" w:rsidRPr="001C329B">
        <w:rPr>
          <w:noProof/>
          <w:sz w:val="28"/>
          <w:szCs w:val="28"/>
          <w:lang w:bidi="yi-Hebr"/>
        </w:rPr>
        <w:t>1.</w:t>
      </w:r>
      <w:r w:rsidR="004773F9" w:rsidRPr="001C329B">
        <w:rPr>
          <w:noProof/>
          <w:sz w:val="28"/>
          <w:szCs w:val="28"/>
          <w:lang w:bidi="yi-Hebr"/>
        </w:rPr>
        <w:t xml:space="preserve"> vietu</w:t>
      </w:r>
      <w:r w:rsidR="00344998" w:rsidRPr="001C329B">
        <w:rPr>
          <w:noProof/>
          <w:sz w:val="28"/>
          <w:szCs w:val="28"/>
          <w:lang w:bidi="yi-Hebr"/>
        </w:rPr>
        <w:t>, 2.</w:t>
      </w:r>
      <w:r w:rsidR="004773F9" w:rsidRPr="001C329B">
        <w:rPr>
          <w:noProof/>
          <w:sz w:val="28"/>
          <w:szCs w:val="28"/>
          <w:lang w:bidi="yi-Hebr"/>
        </w:rPr>
        <w:t>vietu</w:t>
      </w:r>
      <w:r w:rsidR="00344998" w:rsidRPr="001C329B">
        <w:rPr>
          <w:noProof/>
          <w:sz w:val="28"/>
          <w:szCs w:val="28"/>
          <w:lang w:bidi="yi-Hebr"/>
        </w:rPr>
        <w:t xml:space="preserve"> un 3.vietu</w:t>
      </w:r>
      <w:r w:rsidR="009F25F1" w:rsidRPr="001C329B">
        <w:rPr>
          <w:noProof/>
          <w:sz w:val="28"/>
          <w:szCs w:val="28"/>
          <w:lang w:bidi="yi-Hebr"/>
        </w:rPr>
        <w:t>.</w:t>
      </w:r>
    </w:p>
    <w:p w:rsidR="004773F9" w:rsidRPr="001C329B" w:rsidRDefault="004773F9" w:rsidP="001C329B">
      <w:pPr>
        <w:spacing w:after="0"/>
        <w:rPr>
          <w:noProof/>
          <w:sz w:val="28"/>
          <w:szCs w:val="28"/>
          <w:lang w:bidi="yi-Hebr"/>
        </w:rPr>
      </w:pPr>
      <w:r w:rsidRPr="001C329B">
        <w:rPr>
          <w:noProof/>
          <w:sz w:val="28"/>
          <w:szCs w:val="28"/>
          <w:lang w:bidi="yi-Hebr"/>
        </w:rPr>
        <w:t xml:space="preserve">Katru no mākslinieciskajiem kolektīviem – Svētku fināla skašu uzvarētājiem, atbilstoši Svētku fināla skašu nolikumos iekļautajiem kritērijiem, individuāli vērtēja Centra apstiprināta žūrija, kurā piedalījās arī starptautiskie eksperti. </w:t>
      </w:r>
      <w:r w:rsidR="001C329B" w:rsidRPr="001C329B">
        <w:rPr>
          <w:noProof/>
          <w:sz w:val="28"/>
          <w:szCs w:val="28"/>
          <w:lang w:bidi="yi-Hebr"/>
        </w:rPr>
        <w:t>Augstāko godalgoto vietu ieguvēji</w:t>
      </w:r>
      <w:r w:rsidRPr="001C329B">
        <w:rPr>
          <w:noProof/>
          <w:sz w:val="28"/>
          <w:szCs w:val="28"/>
          <w:lang w:bidi="yi-Hebr"/>
        </w:rPr>
        <w:t xml:space="preserve"> Svētku fināla skatēs demonstrējuši augstāko māksliniecisko sniegumu </w:t>
      </w:r>
      <w:r w:rsidR="001C329B" w:rsidRPr="001C329B">
        <w:rPr>
          <w:noProof/>
          <w:sz w:val="28"/>
          <w:szCs w:val="28"/>
          <w:lang w:bidi="yi-Hebr"/>
        </w:rPr>
        <w:t xml:space="preserve">(ar dažu punktu pārsvaru Lielajai balvai un </w:t>
      </w:r>
      <w:r w:rsidR="001C329B" w:rsidRPr="001C329B">
        <w:rPr>
          <w:noProof/>
          <w:sz w:val="28"/>
          <w:szCs w:val="28"/>
          <w:lang w:bidi="yi-Hebr"/>
        </w:rPr>
        <w:lastRenderedPageBreak/>
        <w:t xml:space="preserve">1.vietai) </w:t>
      </w:r>
      <w:r w:rsidRPr="001C329B">
        <w:rPr>
          <w:noProof/>
          <w:sz w:val="28"/>
          <w:szCs w:val="28"/>
          <w:lang w:bidi="yi-Hebr"/>
        </w:rPr>
        <w:t>visos konkrētā Svētku fināla skates nolikumā iekļautajos kritērijos</w:t>
      </w:r>
      <w:r w:rsidR="001C329B" w:rsidRPr="001C329B">
        <w:rPr>
          <w:noProof/>
          <w:sz w:val="28"/>
          <w:szCs w:val="28"/>
          <w:lang w:bidi="yi-Hebr"/>
        </w:rPr>
        <w:t xml:space="preserve">:  </w:t>
      </w:r>
      <w:r w:rsidR="00E20097" w:rsidRPr="001C329B">
        <w:rPr>
          <w:noProof/>
          <w:sz w:val="28"/>
          <w:szCs w:val="28"/>
          <w:lang w:bidi="yi-Hebr"/>
        </w:rPr>
        <w:t>vokālā/instrumentālā izpildījuma tehnika, m</w:t>
      </w:r>
      <w:r w:rsidR="001C329B" w:rsidRPr="001C329B">
        <w:rPr>
          <w:noProof/>
          <w:sz w:val="28"/>
          <w:szCs w:val="28"/>
          <w:lang w:bidi="yi-Hebr"/>
        </w:rPr>
        <w:t>ākslinieciskais</w:t>
      </w:r>
      <w:r w:rsidR="00E20097" w:rsidRPr="001C329B">
        <w:rPr>
          <w:noProof/>
          <w:sz w:val="28"/>
          <w:szCs w:val="28"/>
          <w:lang w:bidi="yi-Hebr"/>
        </w:rPr>
        <w:t xml:space="preserve"> izpildījums, tehniskais izpildījums, mākslinieciskā kolektīva kopskats</w:t>
      </w:r>
      <w:r w:rsidR="001C329B" w:rsidRPr="001C329B">
        <w:rPr>
          <w:noProof/>
          <w:sz w:val="28"/>
          <w:szCs w:val="28"/>
          <w:lang w:bidi="yi-Hebr"/>
        </w:rPr>
        <w:t>.</w:t>
      </w:r>
    </w:p>
    <w:p w:rsidR="00344998" w:rsidRPr="001C329B" w:rsidRDefault="00F31801" w:rsidP="00344998">
      <w:pPr>
        <w:spacing w:after="0"/>
        <w:rPr>
          <w:noProof/>
          <w:sz w:val="28"/>
          <w:szCs w:val="28"/>
          <w:lang w:bidi="yi-Hebr"/>
        </w:rPr>
      </w:pPr>
      <w:r w:rsidRPr="001C329B">
        <w:rPr>
          <w:noProof/>
          <w:sz w:val="28"/>
          <w:szCs w:val="28"/>
          <w:lang w:bidi="yi-Hebr"/>
        </w:rPr>
        <w:t xml:space="preserve">Ņemot vērā tērpu un </w:t>
      </w:r>
      <w:r w:rsidR="00344998" w:rsidRPr="001C329B">
        <w:rPr>
          <w:noProof/>
          <w:sz w:val="28"/>
          <w:szCs w:val="28"/>
          <w:lang w:bidi="yi-Hebr"/>
        </w:rPr>
        <w:t xml:space="preserve">mūzikas </w:t>
      </w:r>
      <w:r w:rsidRPr="001C329B">
        <w:rPr>
          <w:noProof/>
          <w:sz w:val="28"/>
          <w:szCs w:val="28"/>
          <w:lang w:bidi="yi-Hebr"/>
        </w:rPr>
        <w:t>i</w:t>
      </w:r>
      <w:r w:rsidR="00344998" w:rsidRPr="001C329B">
        <w:rPr>
          <w:noProof/>
          <w:sz w:val="28"/>
          <w:szCs w:val="28"/>
          <w:lang w:bidi="yi-Hebr"/>
        </w:rPr>
        <w:t xml:space="preserve">nstrumentu izcenojumus, </w:t>
      </w:r>
      <w:r w:rsidR="00811F4C" w:rsidRPr="001C329B">
        <w:rPr>
          <w:noProof/>
          <w:sz w:val="28"/>
          <w:szCs w:val="28"/>
          <w:lang w:bidi="yi-Hebr"/>
        </w:rPr>
        <w:t xml:space="preserve">finansējums būtu nenovērtējams atbalsts </w:t>
      </w:r>
      <w:r w:rsidR="00344998" w:rsidRPr="001C329B">
        <w:rPr>
          <w:noProof/>
          <w:sz w:val="28"/>
          <w:szCs w:val="28"/>
          <w:lang w:bidi="yi-Hebr"/>
        </w:rPr>
        <w:t>un stimuls Svētkos profesionālu Latvijas un ārvalstu ekspertu (žūriju) nov</w:t>
      </w:r>
      <w:r w:rsidR="00445A09" w:rsidRPr="001C329B">
        <w:rPr>
          <w:noProof/>
          <w:sz w:val="28"/>
          <w:szCs w:val="28"/>
          <w:lang w:bidi="yi-Hebr"/>
        </w:rPr>
        <w:t>ērtēto</w:t>
      </w:r>
      <w:r w:rsidR="004773F9" w:rsidRPr="001C329B">
        <w:rPr>
          <w:noProof/>
          <w:sz w:val="28"/>
          <w:szCs w:val="28"/>
          <w:lang w:bidi="yi-Hebr"/>
        </w:rPr>
        <w:t xml:space="preserve"> izcilāko māksliniecisko</w:t>
      </w:r>
      <w:r w:rsidR="00445A09" w:rsidRPr="001C329B">
        <w:rPr>
          <w:noProof/>
          <w:sz w:val="28"/>
          <w:szCs w:val="28"/>
          <w:lang w:bidi="yi-Hebr"/>
        </w:rPr>
        <w:t xml:space="preserve"> kolektīvu</w:t>
      </w:r>
      <w:r w:rsidR="00344998" w:rsidRPr="001C329B">
        <w:rPr>
          <w:noProof/>
          <w:sz w:val="28"/>
          <w:szCs w:val="28"/>
          <w:lang w:bidi="yi-Hebr"/>
        </w:rPr>
        <w:t xml:space="preserve"> kvalitatīvai </w:t>
      </w:r>
      <w:r w:rsidR="00927617" w:rsidRPr="001C329B">
        <w:rPr>
          <w:noProof/>
          <w:sz w:val="28"/>
          <w:szCs w:val="28"/>
          <w:lang w:bidi="yi-Hebr"/>
        </w:rPr>
        <w:t xml:space="preserve">turpmākai </w:t>
      </w:r>
      <w:r w:rsidR="00344998" w:rsidRPr="001C329B">
        <w:rPr>
          <w:noProof/>
          <w:sz w:val="28"/>
          <w:szCs w:val="28"/>
          <w:lang w:bidi="yi-Hebr"/>
        </w:rPr>
        <w:t>darbībai, sagatavojot un prezentējot mākslinieciskās programmas laika posmā starp kārtējiem Vispārējiem latviešu Dziesmu un deju svētkiem</w:t>
      </w:r>
      <w:r w:rsidR="00445A09" w:rsidRPr="001C329B">
        <w:rPr>
          <w:noProof/>
          <w:sz w:val="28"/>
          <w:szCs w:val="28"/>
          <w:lang w:bidi="yi-Hebr"/>
        </w:rPr>
        <w:t xml:space="preserve"> Latvijā un ārvalstīs</w:t>
      </w:r>
      <w:r w:rsidR="00344998" w:rsidRPr="001C329B">
        <w:rPr>
          <w:noProof/>
          <w:sz w:val="28"/>
          <w:szCs w:val="28"/>
          <w:lang w:bidi="yi-Hebr"/>
        </w:rPr>
        <w:t>, kā arī gatavojoties nākamajiem – 2018.gada Dziesmu un deju svētkiem.</w:t>
      </w:r>
    </w:p>
    <w:p w:rsidR="0005246C" w:rsidRPr="001C329B" w:rsidRDefault="00927617" w:rsidP="004773F9">
      <w:pPr>
        <w:spacing w:after="0"/>
        <w:rPr>
          <w:noProof/>
          <w:sz w:val="28"/>
          <w:szCs w:val="28"/>
          <w:lang w:bidi="yi-Hebr"/>
        </w:rPr>
      </w:pPr>
      <w:r w:rsidRPr="001C329B">
        <w:rPr>
          <w:noProof/>
          <w:sz w:val="28"/>
          <w:szCs w:val="28"/>
          <w:lang w:bidi="yi-Hebr"/>
        </w:rPr>
        <w:t>Kopskaitā finansējums tiktu</w:t>
      </w:r>
      <w:r w:rsidR="00023ED6" w:rsidRPr="001C329B">
        <w:rPr>
          <w:noProof/>
          <w:sz w:val="28"/>
          <w:szCs w:val="28"/>
          <w:lang w:bidi="yi-Hebr"/>
        </w:rPr>
        <w:t xml:space="preserve"> sadalīts </w:t>
      </w:r>
      <w:r w:rsidR="00A96A18" w:rsidRPr="001C329B">
        <w:rPr>
          <w:noProof/>
          <w:sz w:val="28"/>
          <w:szCs w:val="28"/>
          <w:lang w:bidi="yi-Hebr"/>
        </w:rPr>
        <w:t>7</w:t>
      </w:r>
      <w:r w:rsidR="00344998" w:rsidRPr="001C329B">
        <w:rPr>
          <w:noProof/>
          <w:sz w:val="28"/>
          <w:szCs w:val="28"/>
          <w:lang w:bidi="yi-Hebr"/>
        </w:rPr>
        <w:t>6</w:t>
      </w:r>
      <w:r w:rsidR="00A96A18" w:rsidRPr="001C329B">
        <w:rPr>
          <w:noProof/>
          <w:sz w:val="28"/>
          <w:szCs w:val="28"/>
          <w:lang w:bidi="yi-Hebr"/>
        </w:rPr>
        <w:t xml:space="preserve"> </w:t>
      </w:r>
      <w:r w:rsidRPr="001C329B">
        <w:rPr>
          <w:noProof/>
          <w:sz w:val="28"/>
          <w:szCs w:val="28"/>
          <w:lang w:bidi="yi-Hebr"/>
        </w:rPr>
        <w:t xml:space="preserve">Latvijas </w:t>
      </w:r>
      <w:r w:rsidR="00A96A18" w:rsidRPr="001C329B">
        <w:rPr>
          <w:noProof/>
          <w:sz w:val="28"/>
          <w:szCs w:val="28"/>
          <w:lang w:bidi="yi-Hebr"/>
        </w:rPr>
        <w:t>mākslinieciskajiem kolektīviem</w:t>
      </w:r>
      <w:r w:rsidR="00033DFA" w:rsidRPr="001C329B">
        <w:rPr>
          <w:noProof/>
          <w:sz w:val="28"/>
          <w:szCs w:val="28"/>
          <w:lang w:bidi="yi-Hebr"/>
        </w:rPr>
        <w:t xml:space="preserve"> –</w:t>
      </w:r>
      <w:r w:rsidR="0005246C" w:rsidRPr="001C329B">
        <w:rPr>
          <w:noProof/>
          <w:sz w:val="28"/>
          <w:szCs w:val="28"/>
          <w:lang w:bidi="yi-Hebr"/>
        </w:rPr>
        <w:t xml:space="preserve"> </w:t>
      </w:r>
      <w:r w:rsidR="00A96A18" w:rsidRPr="001C329B">
        <w:rPr>
          <w:noProof/>
          <w:sz w:val="28"/>
          <w:szCs w:val="28"/>
          <w:lang w:bidi="yi-Hebr"/>
        </w:rPr>
        <w:t>23 kori</w:t>
      </w:r>
      <w:r w:rsidR="00033DFA" w:rsidRPr="001C329B">
        <w:rPr>
          <w:noProof/>
          <w:sz w:val="28"/>
          <w:szCs w:val="28"/>
          <w:lang w:bidi="yi-Hebr"/>
        </w:rPr>
        <w:t>em</w:t>
      </w:r>
      <w:r w:rsidR="004525B2" w:rsidRPr="001C329B">
        <w:rPr>
          <w:noProof/>
          <w:sz w:val="28"/>
          <w:szCs w:val="28"/>
          <w:lang w:bidi="yi-Hebr"/>
        </w:rPr>
        <w:t xml:space="preserve">, </w:t>
      </w:r>
      <w:r w:rsidR="0005246C" w:rsidRPr="001C329B">
        <w:rPr>
          <w:noProof/>
          <w:sz w:val="28"/>
          <w:szCs w:val="28"/>
          <w:lang w:bidi="yi-Hebr"/>
        </w:rPr>
        <w:t xml:space="preserve">21 deju kolektīvam, </w:t>
      </w:r>
      <w:r w:rsidR="00A96A18" w:rsidRPr="001C329B">
        <w:rPr>
          <w:noProof/>
          <w:sz w:val="28"/>
          <w:szCs w:val="28"/>
          <w:lang w:bidi="yi-Hebr"/>
        </w:rPr>
        <w:t>23 pūtēju orķestri</w:t>
      </w:r>
      <w:r w:rsidR="006376D9" w:rsidRPr="001C329B">
        <w:rPr>
          <w:noProof/>
          <w:sz w:val="28"/>
          <w:szCs w:val="28"/>
          <w:lang w:bidi="yi-Hebr"/>
        </w:rPr>
        <w:t>em un 9 koklētāju</w:t>
      </w:r>
      <w:r w:rsidR="004773F9" w:rsidRPr="001C329B">
        <w:rPr>
          <w:noProof/>
          <w:sz w:val="28"/>
          <w:szCs w:val="28"/>
          <w:lang w:bidi="yi-Hebr"/>
        </w:rPr>
        <w:t xml:space="preserve"> ansambļiem, </w:t>
      </w:r>
      <w:r w:rsidRPr="001C329B">
        <w:rPr>
          <w:noProof/>
          <w:sz w:val="28"/>
          <w:szCs w:val="28"/>
          <w:lang w:bidi="yi-Hebr"/>
        </w:rPr>
        <w:t xml:space="preserve">atbilstoši iegūtajam ekspertu (žūrijas) novērtējumam: </w:t>
      </w:r>
    </w:p>
    <w:p w:rsidR="0005246C" w:rsidRPr="001C329B" w:rsidRDefault="0005246C" w:rsidP="0005246C">
      <w:pPr>
        <w:pStyle w:val="ListParagraph"/>
        <w:numPr>
          <w:ilvl w:val="0"/>
          <w:numId w:val="43"/>
        </w:numPr>
        <w:spacing w:after="0"/>
        <w:rPr>
          <w:noProof/>
          <w:sz w:val="28"/>
          <w:szCs w:val="28"/>
          <w:lang w:bidi="yi-Hebr"/>
        </w:rPr>
      </w:pPr>
      <w:r w:rsidRPr="001C329B">
        <w:rPr>
          <w:noProof/>
          <w:sz w:val="28"/>
          <w:szCs w:val="28"/>
          <w:lang w:bidi="yi-Hebr"/>
        </w:rPr>
        <w:t>Lielās balvas un 1.vietas ieguvējiem: 9 koriem, 7 deju kolektīviem, 7 pūtēju orķestriem un 4 koklētāju ansambļiem -  katram piešķirot 2340 LVL;</w:t>
      </w:r>
    </w:p>
    <w:p w:rsidR="0005246C" w:rsidRPr="001C329B" w:rsidRDefault="0005246C" w:rsidP="0005246C">
      <w:pPr>
        <w:pStyle w:val="ListParagraph"/>
        <w:numPr>
          <w:ilvl w:val="0"/>
          <w:numId w:val="43"/>
        </w:numPr>
        <w:spacing w:after="0"/>
        <w:rPr>
          <w:noProof/>
          <w:sz w:val="28"/>
          <w:szCs w:val="28"/>
          <w:lang w:bidi="yi-Hebr"/>
        </w:rPr>
      </w:pPr>
      <w:r w:rsidRPr="001C329B">
        <w:rPr>
          <w:noProof/>
          <w:sz w:val="28"/>
          <w:szCs w:val="28"/>
          <w:lang w:bidi="yi-Hebr"/>
        </w:rPr>
        <w:t>2.vietas ieguvējiem: 7 koriem, 7 deju kolektīviem, 12 pūtēju orķestriem un 3 koklētāju ansambļiem -  katram piešķirot 1750 LVL;</w:t>
      </w:r>
    </w:p>
    <w:p w:rsidR="0005246C" w:rsidRDefault="0005246C" w:rsidP="0005246C">
      <w:pPr>
        <w:pStyle w:val="ListParagraph"/>
        <w:numPr>
          <w:ilvl w:val="0"/>
          <w:numId w:val="43"/>
        </w:numPr>
        <w:spacing w:after="0"/>
        <w:rPr>
          <w:noProof/>
          <w:sz w:val="28"/>
          <w:szCs w:val="28"/>
          <w:lang w:bidi="yi-Hebr"/>
        </w:rPr>
      </w:pPr>
      <w:r w:rsidRPr="001C329B">
        <w:rPr>
          <w:noProof/>
          <w:sz w:val="28"/>
          <w:szCs w:val="28"/>
          <w:lang w:bidi="yi-Hebr"/>
        </w:rPr>
        <w:t xml:space="preserve">3.vietas ieguvējiem: 7 koriem, 7 deju kolektīviem, 4 pūtēju orķestriem un 2 koklētāju ansambļiem </w:t>
      </w:r>
      <w:r w:rsidR="00E4298A" w:rsidRPr="001C329B">
        <w:rPr>
          <w:noProof/>
          <w:sz w:val="28"/>
          <w:szCs w:val="28"/>
          <w:lang w:bidi="yi-Hebr"/>
        </w:rPr>
        <w:t>–</w:t>
      </w:r>
      <w:r w:rsidRPr="001C329B">
        <w:rPr>
          <w:noProof/>
          <w:sz w:val="28"/>
          <w:szCs w:val="28"/>
          <w:lang w:bidi="yi-Hebr"/>
        </w:rPr>
        <w:t xml:space="preserve">  katram piešķirot 1310 LVL.</w:t>
      </w:r>
    </w:p>
    <w:p w:rsidR="00B93687" w:rsidRPr="001C329B" w:rsidRDefault="00552535" w:rsidP="00B93687">
      <w:pPr>
        <w:pStyle w:val="ListParagraph"/>
        <w:spacing w:after="0"/>
        <w:ind w:left="0" w:firstLine="709"/>
        <w:rPr>
          <w:noProof/>
          <w:sz w:val="28"/>
          <w:szCs w:val="28"/>
          <w:lang w:bidi="yi-Hebr"/>
        </w:rPr>
      </w:pPr>
      <w:r w:rsidRPr="002C6B7D">
        <w:rPr>
          <w:noProof/>
          <w:sz w:val="28"/>
          <w:szCs w:val="28"/>
          <w:lang w:bidi="yi-Hebr"/>
        </w:rPr>
        <w:t>F</w:t>
      </w:r>
      <w:r w:rsidR="00B93687" w:rsidRPr="002C6B7D">
        <w:rPr>
          <w:noProof/>
          <w:sz w:val="28"/>
          <w:szCs w:val="28"/>
          <w:lang w:bidi="yi-Hebr"/>
        </w:rPr>
        <w:t>inansējuma</w:t>
      </w:r>
      <w:r w:rsidR="00243D31" w:rsidRPr="002C6B7D">
        <w:rPr>
          <w:noProof/>
          <w:sz w:val="28"/>
          <w:szCs w:val="28"/>
          <w:lang w:bidi="yi-Hebr"/>
        </w:rPr>
        <w:t xml:space="preserve"> apmērs</w:t>
      </w:r>
      <w:r w:rsidR="00B93687" w:rsidRPr="002C6B7D">
        <w:rPr>
          <w:noProof/>
          <w:sz w:val="28"/>
          <w:szCs w:val="28"/>
          <w:lang w:bidi="yi-Hebr"/>
        </w:rPr>
        <w:t xml:space="preserve"> </w:t>
      </w:r>
      <w:r w:rsidR="00B1459D" w:rsidRPr="002C6B7D">
        <w:rPr>
          <w:noProof/>
          <w:sz w:val="28"/>
          <w:szCs w:val="28"/>
          <w:lang w:bidi="yi-Hebr"/>
        </w:rPr>
        <w:t xml:space="preserve">katram </w:t>
      </w:r>
      <w:r w:rsidRPr="002C6B7D">
        <w:rPr>
          <w:noProof/>
          <w:sz w:val="28"/>
          <w:szCs w:val="28"/>
          <w:lang w:bidi="yi-Hebr"/>
        </w:rPr>
        <w:t xml:space="preserve">mākslinieciskajam </w:t>
      </w:r>
      <w:r w:rsidR="00B1459D" w:rsidRPr="002C6B7D">
        <w:rPr>
          <w:noProof/>
          <w:sz w:val="28"/>
          <w:szCs w:val="28"/>
          <w:lang w:bidi="yi-Hebr"/>
        </w:rPr>
        <w:t>kolektīvam</w:t>
      </w:r>
      <w:r w:rsidR="00B93687" w:rsidRPr="002C6B7D">
        <w:rPr>
          <w:noProof/>
          <w:sz w:val="28"/>
          <w:szCs w:val="28"/>
          <w:lang w:bidi="yi-Hebr"/>
        </w:rPr>
        <w:t xml:space="preserve"> tika </w:t>
      </w:r>
      <w:r w:rsidR="00243D31" w:rsidRPr="002C6B7D">
        <w:rPr>
          <w:noProof/>
          <w:sz w:val="28"/>
          <w:szCs w:val="28"/>
          <w:lang w:bidi="yi-Hebr"/>
        </w:rPr>
        <w:t>aprēķināts</w:t>
      </w:r>
      <w:r w:rsidRPr="002C6B7D">
        <w:rPr>
          <w:noProof/>
          <w:sz w:val="28"/>
          <w:szCs w:val="28"/>
          <w:lang w:bidi="yi-Hebr"/>
        </w:rPr>
        <w:t xml:space="preserve"> sekojoši:</w:t>
      </w:r>
      <w:r w:rsidR="00B93687" w:rsidRPr="002C6B7D">
        <w:rPr>
          <w:noProof/>
          <w:sz w:val="28"/>
          <w:szCs w:val="28"/>
          <w:lang w:bidi="yi-Hebr"/>
        </w:rPr>
        <w:t xml:space="preserve"> </w:t>
      </w:r>
      <w:r w:rsidRPr="00337F3A">
        <w:rPr>
          <w:noProof/>
          <w:sz w:val="28"/>
          <w:szCs w:val="28"/>
          <w:lang w:bidi="yi-Hebr"/>
        </w:rPr>
        <w:t>transferta pašvaldībām noteiktam mērķim</w:t>
      </w:r>
      <w:r w:rsidR="00B93687" w:rsidRPr="002C6B7D">
        <w:rPr>
          <w:noProof/>
          <w:sz w:val="28"/>
          <w:szCs w:val="28"/>
          <w:lang w:bidi="yi-Hebr"/>
        </w:rPr>
        <w:t xml:space="preserve"> </w:t>
      </w:r>
      <w:r w:rsidRPr="002C6B7D">
        <w:rPr>
          <w:noProof/>
          <w:sz w:val="28"/>
          <w:szCs w:val="28"/>
          <w:lang w:bidi="yi-Hebr"/>
        </w:rPr>
        <w:t>atlikums</w:t>
      </w:r>
      <w:r w:rsidR="00B93687" w:rsidRPr="002C6B7D">
        <w:rPr>
          <w:noProof/>
          <w:sz w:val="28"/>
          <w:szCs w:val="28"/>
          <w:lang w:bidi="yi-Hebr"/>
        </w:rPr>
        <w:t>140 130</w:t>
      </w:r>
      <w:r w:rsidR="00B93687" w:rsidRPr="002C6B7D">
        <w:t xml:space="preserve"> </w:t>
      </w:r>
      <w:r w:rsidR="00B93687" w:rsidRPr="002C6B7D">
        <w:rPr>
          <w:noProof/>
          <w:sz w:val="28"/>
          <w:szCs w:val="28"/>
          <w:lang w:bidi="yi-Hebr"/>
        </w:rPr>
        <w:t>LVL</w:t>
      </w:r>
      <w:r w:rsidR="00B1459D" w:rsidRPr="002C6B7D">
        <w:rPr>
          <w:noProof/>
          <w:sz w:val="28"/>
          <w:szCs w:val="28"/>
          <w:lang w:bidi="yi-Hebr"/>
        </w:rPr>
        <w:t xml:space="preserve"> matemātiski izdalīts ar </w:t>
      </w:r>
      <w:r w:rsidR="00B93687" w:rsidRPr="002C6B7D">
        <w:rPr>
          <w:noProof/>
          <w:sz w:val="28"/>
          <w:szCs w:val="28"/>
          <w:lang w:bidi="yi-Hebr"/>
        </w:rPr>
        <w:t>kolekt</w:t>
      </w:r>
      <w:r w:rsidR="00B1459D" w:rsidRPr="002C6B7D">
        <w:rPr>
          <w:noProof/>
          <w:sz w:val="28"/>
          <w:szCs w:val="28"/>
          <w:lang w:bidi="yi-Hebr"/>
        </w:rPr>
        <w:t>īvu skaitu</w:t>
      </w:r>
      <w:r w:rsidRPr="002C6B7D">
        <w:rPr>
          <w:noProof/>
          <w:sz w:val="28"/>
          <w:szCs w:val="28"/>
          <w:lang w:bidi="yi-Hebr"/>
        </w:rPr>
        <w:t xml:space="preserve"> </w:t>
      </w:r>
      <w:r w:rsidR="00B1459D" w:rsidRPr="002C6B7D">
        <w:rPr>
          <w:noProof/>
          <w:sz w:val="28"/>
          <w:szCs w:val="28"/>
          <w:lang w:bidi="yi-Hebr"/>
        </w:rPr>
        <w:t>- 76. Tālākie aprēķini katram konkrētajam kolektīvam tika veikti</w:t>
      </w:r>
      <w:r w:rsidR="007B51E7" w:rsidRPr="002C6B7D">
        <w:rPr>
          <w:noProof/>
          <w:sz w:val="28"/>
          <w:szCs w:val="28"/>
          <w:lang w:bidi="yi-Hebr"/>
        </w:rPr>
        <w:t>,</w:t>
      </w:r>
      <w:r w:rsidR="00B1459D" w:rsidRPr="002C6B7D">
        <w:rPr>
          <w:noProof/>
          <w:sz w:val="28"/>
          <w:szCs w:val="28"/>
          <w:lang w:bidi="yi-Hebr"/>
        </w:rPr>
        <w:t xml:space="preserve"> </w:t>
      </w:r>
      <w:r w:rsidR="00B93687" w:rsidRPr="002C6B7D">
        <w:rPr>
          <w:noProof/>
          <w:sz w:val="28"/>
          <w:szCs w:val="28"/>
          <w:lang w:bidi="yi-Hebr"/>
        </w:rPr>
        <w:t xml:space="preserve">pieņemot, ka Lielās balvas un 1.vietas ieguvējiem pienākas finansējums 100% apmērā, 2.vietas ieguvējiem 75 % apmērā no 1.vietas finansējuma, savukārt 3.vietas ieguvējiem </w:t>
      </w:r>
      <w:r w:rsidR="00F60BFA" w:rsidRPr="002C6B7D">
        <w:rPr>
          <w:noProof/>
          <w:sz w:val="28"/>
          <w:szCs w:val="28"/>
          <w:lang w:bidi="yi-Hebr"/>
        </w:rPr>
        <w:t>75% no 2.vietas finansējuma apmēra.</w:t>
      </w:r>
    </w:p>
    <w:p w:rsidR="000C2668" w:rsidRPr="001C329B" w:rsidRDefault="00E4298A" w:rsidP="00C53A75">
      <w:pPr>
        <w:spacing w:after="0"/>
        <w:rPr>
          <w:noProof/>
          <w:sz w:val="28"/>
          <w:szCs w:val="28"/>
          <w:lang w:bidi="yi-Hebr"/>
        </w:rPr>
      </w:pPr>
      <w:r>
        <w:rPr>
          <w:noProof/>
          <w:sz w:val="28"/>
          <w:szCs w:val="28"/>
          <w:lang w:bidi="yi-Hebr"/>
        </w:rPr>
        <w:t>Centrs finansējumu pārskaitīs pašvaldībām piešķiršanai Latvijas labākajiem m</w:t>
      </w:r>
      <w:r w:rsidR="00FB7BEC" w:rsidRPr="001C329B">
        <w:rPr>
          <w:noProof/>
          <w:sz w:val="28"/>
          <w:szCs w:val="28"/>
          <w:lang w:bidi="yi-Hebr"/>
        </w:rPr>
        <w:t>āksliniecisk</w:t>
      </w:r>
      <w:r>
        <w:rPr>
          <w:noProof/>
          <w:sz w:val="28"/>
          <w:szCs w:val="28"/>
          <w:lang w:bidi="yi-Hebr"/>
        </w:rPr>
        <w:t>ajiem</w:t>
      </w:r>
      <w:r w:rsidR="00FB7BEC" w:rsidRPr="001C329B">
        <w:rPr>
          <w:noProof/>
          <w:sz w:val="28"/>
          <w:szCs w:val="28"/>
          <w:lang w:bidi="yi-Hebr"/>
        </w:rPr>
        <w:t xml:space="preserve"> k</w:t>
      </w:r>
      <w:r w:rsidR="00966D59" w:rsidRPr="001C329B">
        <w:rPr>
          <w:noProof/>
          <w:sz w:val="28"/>
          <w:szCs w:val="28"/>
          <w:lang w:bidi="yi-Hebr"/>
        </w:rPr>
        <w:t>olektīv</w:t>
      </w:r>
      <w:r>
        <w:rPr>
          <w:noProof/>
          <w:sz w:val="28"/>
          <w:szCs w:val="28"/>
          <w:lang w:bidi="yi-Hebr"/>
        </w:rPr>
        <w:t>iem</w:t>
      </w:r>
      <w:r w:rsidR="00966D59" w:rsidRPr="001C329B">
        <w:rPr>
          <w:noProof/>
          <w:sz w:val="28"/>
          <w:szCs w:val="28"/>
          <w:lang w:bidi="yi-Hebr"/>
        </w:rPr>
        <w:t xml:space="preserve"> </w:t>
      </w:r>
      <w:r>
        <w:rPr>
          <w:noProof/>
          <w:sz w:val="28"/>
          <w:szCs w:val="28"/>
          <w:lang w:bidi="yi-Hebr"/>
        </w:rPr>
        <w:t>atbilstoši informatīvā ziņojuma</w:t>
      </w:r>
      <w:r w:rsidR="00966D59" w:rsidRPr="001C329B">
        <w:rPr>
          <w:noProof/>
          <w:sz w:val="28"/>
          <w:szCs w:val="28"/>
          <w:lang w:bidi="yi-Hebr"/>
        </w:rPr>
        <w:t xml:space="preserve"> 1.pielikum</w:t>
      </w:r>
      <w:r>
        <w:rPr>
          <w:noProof/>
          <w:sz w:val="28"/>
          <w:szCs w:val="28"/>
          <w:lang w:bidi="yi-Hebr"/>
        </w:rPr>
        <w:t xml:space="preserve">am un </w:t>
      </w:r>
      <w:r w:rsidR="00FB7BEC" w:rsidRPr="001C329B">
        <w:rPr>
          <w:noProof/>
          <w:sz w:val="28"/>
          <w:szCs w:val="28"/>
          <w:lang w:bidi="yi-Hebr"/>
        </w:rPr>
        <w:t>2.pielikum</w:t>
      </w:r>
      <w:r>
        <w:rPr>
          <w:noProof/>
          <w:sz w:val="28"/>
          <w:szCs w:val="28"/>
          <w:lang w:bidi="yi-Hebr"/>
        </w:rPr>
        <w:t>am</w:t>
      </w:r>
      <w:r w:rsidR="00966D59" w:rsidRPr="001C329B">
        <w:rPr>
          <w:noProof/>
          <w:sz w:val="28"/>
          <w:szCs w:val="28"/>
          <w:lang w:bidi="yi-Hebr"/>
        </w:rPr>
        <w:t>.</w:t>
      </w:r>
    </w:p>
    <w:p w:rsidR="004525B2" w:rsidRPr="001C329B" w:rsidRDefault="004525B2" w:rsidP="004525B2">
      <w:pPr>
        <w:spacing w:after="0"/>
        <w:rPr>
          <w:noProof/>
          <w:sz w:val="28"/>
          <w:szCs w:val="28"/>
          <w:lang w:bidi="yi-Hebr"/>
        </w:rPr>
      </w:pPr>
    </w:p>
    <w:p w:rsidR="005405F8" w:rsidRPr="001C329B" w:rsidRDefault="005405F8" w:rsidP="006376D9">
      <w:pPr>
        <w:ind w:firstLine="0"/>
        <w:jc w:val="center"/>
        <w:rPr>
          <w:b/>
          <w:noProof/>
          <w:sz w:val="28"/>
          <w:szCs w:val="28"/>
          <w:lang w:bidi="yi-Hebr"/>
        </w:rPr>
      </w:pPr>
      <w:r w:rsidRPr="001C329B">
        <w:rPr>
          <w:b/>
          <w:noProof/>
          <w:sz w:val="28"/>
          <w:szCs w:val="28"/>
          <w:lang w:bidi="yi-Hebr"/>
        </w:rPr>
        <w:t>III. Kopsavilkums</w:t>
      </w:r>
    </w:p>
    <w:p w:rsidR="00C11331" w:rsidRPr="001C329B" w:rsidRDefault="00C11331" w:rsidP="0005246C">
      <w:pPr>
        <w:spacing w:after="0"/>
        <w:rPr>
          <w:noProof/>
          <w:sz w:val="28"/>
          <w:szCs w:val="28"/>
          <w:lang w:bidi="yi-Hebr"/>
        </w:rPr>
      </w:pPr>
      <w:r w:rsidRPr="001C329B">
        <w:rPr>
          <w:noProof/>
          <w:sz w:val="28"/>
          <w:szCs w:val="28"/>
          <w:lang w:bidi="yi-Hebr"/>
        </w:rPr>
        <w:t xml:space="preserve">No valsts budžeta piešķirto un </w:t>
      </w:r>
      <w:r w:rsidR="00E4298A">
        <w:rPr>
          <w:noProof/>
          <w:sz w:val="28"/>
          <w:szCs w:val="28"/>
          <w:lang w:bidi="yi-Hebr"/>
        </w:rPr>
        <w:t>neapgūto</w:t>
      </w:r>
      <w:r w:rsidR="00E4298A" w:rsidRPr="001C329B">
        <w:rPr>
          <w:noProof/>
          <w:sz w:val="28"/>
          <w:szCs w:val="28"/>
          <w:lang w:bidi="yi-Hebr"/>
        </w:rPr>
        <w:t xml:space="preserve"> </w:t>
      </w:r>
      <w:r w:rsidRPr="001C329B">
        <w:rPr>
          <w:noProof/>
          <w:sz w:val="28"/>
          <w:szCs w:val="28"/>
          <w:lang w:bidi="yi-Hebr"/>
        </w:rPr>
        <w:t xml:space="preserve">finansējumu </w:t>
      </w:r>
      <w:r w:rsidR="00FB7BEC" w:rsidRPr="001C329B">
        <w:rPr>
          <w:rFonts w:asciiTheme="majorBidi" w:hAnsiTheme="majorBidi" w:cstheme="majorBidi"/>
          <w:sz w:val="28"/>
          <w:szCs w:val="28"/>
          <w:lang w:bidi="yi-Hebr"/>
        </w:rPr>
        <w:t xml:space="preserve">140 157 </w:t>
      </w:r>
      <w:r w:rsidR="0005246C" w:rsidRPr="001C329B">
        <w:rPr>
          <w:noProof/>
          <w:sz w:val="28"/>
          <w:szCs w:val="28"/>
          <w:lang w:bidi="yi-Hebr"/>
        </w:rPr>
        <w:t xml:space="preserve">LVL apmērā </w:t>
      </w:r>
      <w:r w:rsidRPr="001C329B">
        <w:rPr>
          <w:noProof/>
          <w:sz w:val="28"/>
          <w:szCs w:val="28"/>
          <w:lang w:bidi="yi-Hebr"/>
        </w:rPr>
        <w:t xml:space="preserve">Vispārējo latviešu dziesmu un deju svētku dalībnieku naktsmītņu un ēdināšanas izdevumu segšanai svētku laikā </w:t>
      </w:r>
      <w:r w:rsidR="00927617" w:rsidRPr="001C329B">
        <w:rPr>
          <w:noProof/>
          <w:sz w:val="28"/>
          <w:szCs w:val="28"/>
          <w:lang w:bidi="yi-Hebr"/>
        </w:rPr>
        <w:t>plānots izmantot</w:t>
      </w:r>
      <w:r w:rsidRPr="001C329B">
        <w:rPr>
          <w:noProof/>
          <w:sz w:val="28"/>
          <w:szCs w:val="28"/>
          <w:lang w:bidi="yi-Hebr"/>
        </w:rPr>
        <w:t xml:space="preserve"> </w:t>
      </w:r>
      <w:r w:rsidRPr="001C329B">
        <w:rPr>
          <w:rFonts w:eastAsiaTheme="minorHAnsi"/>
          <w:sz w:val="28"/>
          <w:szCs w:val="28"/>
          <w:lang w:eastAsia="en-US" w:bidi="yi-Hebr"/>
        </w:rPr>
        <w:t>140 130 LVL apmērā</w:t>
      </w:r>
      <w:r w:rsidR="00927617" w:rsidRPr="001C329B">
        <w:rPr>
          <w:noProof/>
          <w:sz w:val="28"/>
          <w:szCs w:val="28"/>
          <w:lang w:bidi="yi-Hebr"/>
        </w:rPr>
        <w:t xml:space="preserve">, sadalot to 76 Latvijas izcilākajiem mākslinieciskajiem kolektīviem –23 koriem, </w:t>
      </w:r>
      <w:r w:rsidR="0005246C" w:rsidRPr="001C329B">
        <w:rPr>
          <w:noProof/>
          <w:sz w:val="28"/>
          <w:szCs w:val="28"/>
          <w:lang w:bidi="yi-Hebr"/>
        </w:rPr>
        <w:t xml:space="preserve">21 deju kolektīvam, </w:t>
      </w:r>
      <w:r w:rsidR="00927617" w:rsidRPr="001C329B">
        <w:rPr>
          <w:noProof/>
          <w:sz w:val="28"/>
          <w:szCs w:val="28"/>
          <w:lang w:bidi="yi-Hebr"/>
        </w:rPr>
        <w:t>23 pūtēju orķestriem un 9 koklētāju ansambļiem tautas tērpu,  to detaļu vai arī mūzikas instrumentu iegādei, atbilstoši katra kolektīva iegūtajam</w:t>
      </w:r>
      <w:r w:rsidRPr="001C329B">
        <w:rPr>
          <w:noProof/>
          <w:sz w:val="28"/>
          <w:szCs w:val="28"/>
          <w:lang w:bidi="yi-Hebr"/>
        </w:rPr>
        <w:t xml:space="preserve"> profesionālu Latvijas un ārvalstu ekspertu (žūriju) </w:t>
      </w:r>
      <w:r w:rsidR="00927617" w:rsidRPr="001C329B">
        <w:rPr>
          <w:noProof/>
          <w:sz w:val="28"/>
          <w:szCs w:val="28"/>
          <w:lang w:bidi="yi-Hebr"/>
        </w:rPr>
        <w:t xml:space="preserve">  </w:t>
      </w:r>
      <w:r w:rsidRPr="001C329B">
        <w:rPr>
          <w:noProof/>
          <w:sz w:val="28"/>
          <w:szCs w:val="28"/>
          <w:lang w:bidi="yi-Hebr"/>
        </w:rPr>
        <w:t xml:space="preserve">novērtējumam Svētku fināla skatēs: </w:t>
      </w:r>
    </w:p>
    <w:p w:rsidR="00C11331" w:rsidRPr="001C329B" w:rsidRDefault="00C11331" w:rsidP="0005246C">
      <w:pPr>
        <w:pStyle w:val="ListParagraph"/>
        <w:numPr>
          <w:ilvl w:val="0"/>
          <w:numId w:val="43"/>
        </w:numPr>
        <w:spacing w:after="0"/>
        <w:rPr>
          <w:noProof/>
          <w:sz w:val="28"/>
          <w:szCs w:val="28"/>
          <w:lang w:bidi="yi-Hebr"/>
        </w:rPr>
      </w:pPr>
      <w:r w:rsidRPr="001C329B">
        <w:rPr>
          <w:noProof/>
          <w:sz w:val="28"/>
          <w:szCs w:val="28"/>
          <w:lang w:bidi="yi-Hebr"/>
        </w:rPr>
        <w:t>Lielās balvas un 1.vietas ieguvējiem: 9 koriem, 7 deju kolektīviem, 7 pūtēju orķestriem un 4 koklētāju ansambļiem -  katram pieš</w:t>
      </w:r>
      <w:r w:rsidR="0005246C" w:rsidRPr="001C329B">
        <w:rPr>
          <w:noProof/>
          <w:sz w:val="28"/>
          <w:szCs w:val="28"/>
          <w:lang w:bidi="yi-Hebr"/>
        </w:rPr>
        <w:t>ķirot 2340 LVL;</w:t>
      </w:r>
    </w:p>
    <w:p w:rsidR="008A0728" w:rsidRDefault="00C11331" w:rsidP="0005246C">
      <w:pPr>
        <w:pStyle w:val="ListParagraph"/>
        <w:numPr>
          <w:ilvl w:val="0"/>
          <w:numId w:val="43"/>
        </w:numPr>
        <w:spacing w:after="0"/>
        <w:rPr>
          <w:noProof/>
          <w:sz w:val="28"/>
          <w:szCs w:val="28"/>
          <w:lang w:bidi="yi-Hebr"/>
        </w:rPr>
      </w:pPr>
      <w:r w:rsidRPr="001C329B">
        <w:rPr>
          <w:noProof/>
          <w:sz w:val="28"/>
          <w:szCs w:val="28"/>
          <w:lang w:bidi="yi-Hebr"/>
        </w:rPr>
        <w:t>2.vietas ieguvējiem: 7 koriem, 7 deju kolektīviem, 12 pūtēju orķestriem un 3 koklētāju ansambļiem -  katram piešķirot 1750</w:t>
      </w:r>
      <w:r w:rsidR="0005246C" w:rsidRPr="001C329B">
        <w:rPr>
          <w:noProof/>
          <w:sz w:val="28"/>
          <w:szCs w:val="28"/>
          <w:lang w:bidi="yi-Hebr"/>
        </w:rPr>
        <w:t xml:space="preserve"> LVL;</w:t>
      </w:r>
    </w:p>
    <w:p w:rsidR="008A0728" w:rsidRDefault="008A0728">
      <w:pPr>
        <w:overflowPunct/>
        <w:autoSpaceDE/>
        <w:autoSpaceDN/>
        <w:adjustRightInd/>
        <w:spacing w:after="200" w:line="276" w:lineRule="auto"/>
        <w:ind w:firstLine="0"/>
        <w:jc w:val="left"/>
        <w:textAlignment w:val="auto"/>
        <w:rPr>
          <w:noProof/>
          <w:sz w:val="28"/>
          <w:szCs w:val="28"/>
          <w:lang w:bidi="yi-Hebr"/>
        </w:rPr>
      </w:pPr>
      <w:r>
        <w:rPr>
          <w:noProof/>
          <w:sz w:val="28"/>
          <w:szCs w:val="28"/>
          <w:lang w:bidi="yi-Hebr"/>
        </w:rPr>
        <w:br w:type="page"/>
      </w:r>
    </w:p>
    <w:p w:rsidR="0005246C" w:rsidRPr="001C329B" w:rsidRDefault="0005246C" w:rsidP="008A0728">
      <w:pPr>
        <w:pStyle w:val="ListParagraph"/>
        <w:spacing w:after="0"/>
        <w:ind w:left="360" w:firstLine="0"/>
        <w:rPr>
          <w:noProof/>
          <w:sz w:val="28"/>
          <w:szCs w:val="28"/>
          <w:lang w:bidi="yi-Hebr"/>
        </w:rPr>
      </w:pPr>
    </w:p>
    <w:p w:rsidR="005405F8" w:rsidRPr="001C329B" w:rsidRDefault="00C11331" w:rsidP="0005246C">
      <w:pPr>
        <w:pStyle w:val="ListParagraph"/>
        <w:numPr>
          <w:ilvl w:val="0"/>
          <w:numId w:val="43"/>
        </w:numPr>
        <w:spacing w:after="0"/>
        <w:rPr>
          <w:noProof/>
          <w:sz w:val="28"/>
          <w:szCs w:val="28"/>
          <w:lang w:bidi="yi-Hebr"/>
        </w:rPr>
      </w:pPr>
      <w:r w:rsidRPr="001C329B">
        <w:rPr>
          <w:noProof/>
          <w:sz w:val="28"/>
          <w:szCs w:val="28"/>
          <w:lang w:bidi="yi-Hebr"/>
        </w:rPr>
        <w:t xml:space="preserve">3.vietas ieguvējiem: </w:t>
      </w:r>
      <w:r w:rsidR="0005246C" w:rsidRPr="001C329B">
        <w:rPr>
          <w:noProof/>
          <w:sz w:val="28"/>
          <w:szCs w:val="28"/>
          <w:lang w:bidi="yi-Hebr"/>
        </w:rPr>
        <w:t>7</w:t>
      </w:r>
      <w:r w:rsidRPr="001C329B">
        <w:rPr>
          <w:noProof/>
          <w:sz w:val="28"/>
          <w:szCs w:val="28"/>
          <w:lang w:bidi="yi-Hebr"/>
        </w:rPr>
        <w:t xml:space="preserve"> koriem, 7 deju kolektīviem, </w:t>
      </w:r>
      <w:r w:rsidR="0005246C" w:rsidRPr="001C329B">
        <w:rPr>
          <w:noProof/>
          <w:sz w:val="28"/>
          <w:szCs w:val="28"/>
          <w:lang w:bidi="yi-Hebr"/>
        </w:rPr>
        <w:t>4</w:t>
      </w:r>
      <w:r w:rsidRPr="001C329B">
        <w:rPr>
          <w:noProof/>
          <w:sz w:val="28"/>
          <w:szCs w:val="28"/>
          <w:lang w:bidi="yi-Hebr"/>
        </w:rPr>
        <w:t xml:space="preserve"> pūtēju or</w:t>
      </w:r>
      <w:r w:rsidR="0005246C" w:rsidRPr="001C329B">
        <w:rPr>
          <w:noProof/>
          <w:sz w:val="28"/>
          <w:szCs w:val="28"/>
          <w:lang w:bidi="yi-Hebr"/>
        </w:rPr>
        <w:t>ķestriem un 2</w:t>
      </w:r>
      <w:r w:rsidRPr="001C329B">
        <w:rPr>
          <w:noProof/>
          <w:sz w:val="28"/>
          <w:szCs w:val="28"/>
          <w:lang w:bidi="yi-Hebr"/>
        </w:rPr>
        <w:t xml:space="preserve"> koklētāju ansambļiem -  katram pieš</w:t>
      </w:r>
      <w:r w:rsidR="0005246C" w:rsidRPr="001C329B">
        <w:rPr>
          <w:noProof/>
          <w:sz w:val="28"/>
          <w:szCs w:val="28"/>
          <w:lang w:bidi="yi-Hebr"/>
        </w:rPr>
        <w:t>ķirot 1310</w:t>
      </w:r>
      <w:r w:rsidRPr="001C329B">
        <w:rPr>
          <w:noProof/>
          <w:sz w:val="28"/>
          <w:szCs w:val="28"/>
          <w:lang w:bidi="yi-Hebr"/>
        </w:rPr>
        <w:t xml:space="preserve"> LVL</w:t>
      </w:r>
      <w:r w:rsidR="0005246C" w:rsidRPr="001C329B">
        <w:rPr>
          <w:noProof/>
          <w:sz w:val="28"/>
          <w:szCs w:val="28"/>
          <w:lang w:bidi="yi-Hebr"/>
        </w:rPr>
        <w:t>.</w:t>
      </w:r>
    </w:p>
    <w:p w:rsidR="00A96A18" w:rsidRPr="001C329B" w:rsidRDefault="00A96A18" w:rsidP="005405F8">
      <w:pPr>
        <w:spacing w:after="0"/>
        <w:ind w:firstLine="426"/>
        <w:rPr>
          <w:noProof/>
          <w:sz w:val="28"/>
          <w:szCs w:val="28"/>
          <w:lang w:bidi="yi-Hebr"/>
        </w:rPr>
      </w:pPr>
    </w:p>
    <w:p w:rsidR="00A96A18" w:rsidRPr="001C329B" w:rsidRDefault="00A96A18" w:rsidP="006376D9">
      <w:pPr>
        <w:spacing w:after="0"/>
        <w:ind w:firstLine="0"/>
        <w:rPr>
          <w:noProof/>
          <w:sz w:val="28"/>
          <w:szCs w:val="28"/>
          <w:lang w:bidi="yi-Hebr"/>
        </w:rPr>
      </w:pPr>
    </w:p>
    <w:p w:rsidR="005405F8" w:rsidRPr="001C329B" w:rsidRDefault="005405F8" w:rsidP="008A0728">
      <w:pPr>
        <w:spacing w:after="0"/>
        <w:ind w:firstLine="426"/>
        <w:rPr>
          <w:bCs/>
          <w:noProof/>
          <w:sz w:val="28"/>
          <w:szCs w:val="28"/>
          <w:lang w:bidi="yi-Hebr"/>
        </w:rPr>
      </w:pPr>
      <w:r w:rsidRPr="001C329B">
        <w:rPr>
          <w:noProof/>
          <w:sz w:val="28"/>
          <w:szCs w:val="28"/>
          <w:lang w:bidi="yi-Hebr"/>
        </w:rPr>
        <w:t xml:space="preserve">Kultūras </w:t>
      </w:r>
      <w:r w:rsidRPr="001C329B">
        <w:rPr>
          <w:bCs/>
          <w:noProof/>
          <w:sz w:val="28"/>
          <w:szCs w:val="28"/>
          <w:lang w:bidi="yi-Hebr"/>
        </w:rPr>
        <w:t>ministr</w:t>
      </w:r>
      <w:r w:rsidR="008A0728">
        <w:rPr>
          <w:bCs/>
          <w:noProof/>
          <w:sz w:val="28"/>
          <w:szCs w:val="28"/>
          <w:lang w:bidi="yi-Hebr"/>
        </w:rPr>
        <w:t xml:space="preserve">e </w:t>
      </w:r>
      <w:r w:rsidR="008A0728">
        <w:rPr>
          <w:bCs/>
          <w:noProof/>
          <w:sz w:val="28"/>
          <w:szCs w:val="28"/>
          <w:lang w:bidi="yi-Hebr"/>
        </w:rPr>
        <w:tab/>
      </w:r>
      <w:r w:rsidR="008A0728">
        <w:rPr>
          <w:bCs/>
          <w:noProof/>
          <w:sz w:val="28"/>
          <w:szCs w:val="28"/>
          <w:lang w:bidi="yi-Hebr"/>
        </w:rPr>
        <w:tab/>
      </w:r>
      <w:r w:rsidR="008A0728">
        <w:rPr>
          <w:bCs/>
          <w:noProof/>
          <w:sz w:val="28"/>
          <w:szCs w:val="28"/>
          <w:lang w:bidi="yi-Hebr"/>
        </w:rPr>
        <w:tab/>
      </w:r>
      <w:r w:rsidR="008A0728">
        <w:rPr>
          <w:bCs/>
          <w:noProof/>
          <w:sz w:val="28"/>
          <w:szCs w:val="28"/>
          <w:lang w:bidi="yi-Hebr"/>
        </w:rPr>
        <w:tab/>
      </w:r>
      <w:r w:rsidR="008A0728">
        <w:rPr>
          <w:bCs/>
          <w:noProof/>
          <w:sz w:val="28"/>
          <w:szCs w:val="28"/>
          <w:lang w:bidi="yi-Hebr"/>
        </w:rPr>
        <w:tab/>
      </w:r>
      <w:r w:rsidR="008A0728">
        <w:rPr>
          <w:bCs/>
          <w:noProof/>
          <w:sz w:val="28"/>
          <w:szCs w:val="28"/>
          <w:lang w:bidi="yi-Hebr"/>
        </w:rPr>
        <w:tab/>
        <w:t>D.Melbārde</w:t>
      </w:r>
    </w:p>
    <w:p w:rsidR="005405F8" w:rsidRPr="001C329B" w:rsidRDefault="005405F8" w:rsidP="005405F8">
      <w:pPr>
        <w:tabs>
          <w:tab w:val="left" w:pos="720"/>
          <w:tab w:val="left" w:pos="9214"/>
        </w:tabs>
        <w:spacing w:after="0"/>
        <w:ind w:firstLine="0"/>
        <w:rPr>
          <w:noProof/>
          <w:sz w:val="28"/>
          <w:szCs w:val="28"/>
          <w:lang w:bidi="yi-Hebr"/>
        </w:rPr>
      </w:pPr>
    </w:p>
    <w:p w:rsidR="005405F8" w:rsidRPr="001C329B" w:rsidRDefault="005405F8" w:rsidP="005405F8">
      <w:pPr>
        <w:tabs>
          <w:tab w:val="left" w:pos="360"/>
          <w:tab w:val="left" w:pos="540"/>
          <w:tab w:val="left" w:pos="6663"/>
        </w:tabs>
        <w:spacing w:after="0"/>
        <w:ind w:firstLine="0"/>
        <w:rPr>
          <w:noProof/>
          <w:sz w:val="28"/>
          <w:szCs w:val="28"/>
          <w:lang w:bidi="yi-Hebr"/>
        </w:rPr>
      </w:pPr>
      <w:r w:rsidRPr="001C329B">
        <w:rPr>
          <w:noProof/>
          <w:sz w:val="28"/>
          <w:szCs w:val="28"/>
          <w:lang w:bidi="yi-Hebr"/>
        </w:rPr>
        <w:tab/>
        <w:t xml:space="preserve"> Vīza: Valsts sekretārs</w:t>
      </w:r>
      <w:r w:rsidRPr="001C329B">
        <w:rPr>
          <w:noProof/>
          <w:sz w:val="28"/>
          <w:szCs w:val="28"/>
          <w:lang w:bidi="yi-Hebr"/>
        </w:rPr>
        <w:tab/>
        <w:t>G.Puķītis</w:t>
      </w:r>
    </w:p>
    <w:p w:rsidR="005405F8" w:rsidRPr="001C329B" w:rsidRDefault="005405F8" w:rsidP="005405F8">
      <w:pPr>
        <w:tabs>
          <w:tab w:val="left" w:pos="720"/>
          <w:tab w:val="left" w:pos="6840"/>
        </w:tabs>
        <w:spacing w:after="0"/>
        <w:ind w:firstLine="0"/>
        <w:rPr>
          <w:noProof/>
          <w:sz w:val="20"/>
          <w:lang w:bidi="yi-Hebr"/>
        </w:rPr>
      </w:pPr>
    </w:p>
    <w:p w:rsidR="000624F4" w:rsidRDefault="000624F4" w:rsidP="000624F4">
      <w:pPr>
        <w:overflowPunct/>
        <w:autoSpaceDE/>
        <w:autoSpaceDN/>
        <w:adjustRightInd/>
        <w:spacing w:after="0"/>
        <w:ind w:firstLine="0"/>
        <w:jc w:val="left"/>
        <w:textAlignment w:val="auto"/>
        <w:rPr>
          <w:noProof/>
          <w:szCs w:val="24"/>
          <w:lang w:val="lv-LV" w:bidi="yi-Hebr"/>
        </w:rPr>
      </w:pPr>
    </w:p>
    <w:p w:rsidR="000624F4" w:rsidRDefault="000624F4" w:rsidP="000624F4">
      <w:pPr>
        <w:overflowPunct/>
        <w:autoSpaceDE/>
        <w:autoSpaceDN/>
        <w:adjustRightInd/>
        <w:spacing w:after="0"/>
        <w:ind w:firstLine="0"/>
        <w:jc w:val="left"/>
        <w:textAlignment w:val="auto"/>
        <w:rPr>
          <w:noProof/>
          <w:szCs w:val="24"/>
          <w:lang w:val="lv-LV" w:bidi="yi-Hebr"/>
        </w:rPr>
      </w:pPr>
    </w:p>
    <w:p w:rsidR="000624F4" w:rsidRDefault="000624F4" w:rsidP="000624F4">
      <w:pPr>
        <w:overflowPunct/>
        <w:autoSpaceDE/>
        <w:autoSpaceDN/>
        <w:adjustRightInd/>
        <w:spacing w:after="0"/>
        <w:ind w:firstLine="0"/>
        <w:jc w:val="left"/>
        <w:textAlignment w:val="auto"/>
        <w:rPr>
          <w:noProof/>
          <w:szCs w:val="24"/>
          <w:lang w:val="lv-LV" w:bidi="yi-Hebr"/>
        </w:rPr>
      </w:pPr>
    </w:p>
    <w:p w:rsidR="000624F4" w:rsidRPr="00337F3A" w:rsidRDefault="00573F04" w:rsidP="000624F4">
      <w:pPr>
        <w:overflowPunct/>
        <w:autoSpaceDE/>
        <w:autoSpaceDN/>
        <w:adjustRightInd/>
        <w:spacing w:after="0"/>
        <w:ind w:firstLine="0"/>
        <w:jc w:val="left"/>
        <w:textAlignment w:val="auto"/>
        <w:rPr>
          <w:noProof/>
          <w:sz w:val="22"/>
          <w:szCs w:val="22"/>
          <w:lang w:val="lv-LV" w:bidi="yi-Hebr"/>
        </w:rPr>
      </w:pPr>
      <w:r>
        <w:rPr>
          <w:noProof/>
          <w:sz w:val="22"/>
          <w:szCs w:val="22"/>
          <w:lang w:val="lv-LV" w:bidi="yi-Hebr"/>
        </w:rPr>
        <w:t>28</w:t>
      </w:r>
      <w:r w:rsidR="002C6B7D">
        <w:rPr>
          <w:noProof/>
          <w:sz w:val="22"/>
          <w:szCs w:val="22"/>
          <w:lang w:val="lv-LV" w:bidi="yi-Hebr"/>
        </w:rPr>
        <w:t>.11.</w:t>
      </w:r>
      <w:r w:rsidR="000624F4" w:rsidRPr="00337F3A">
        <w:rPr>
          <w:noProof/>
          <w:sz w:val="22"/>
          <w:szCs w:val="22"/>
          <w:lang w:val="lv-LV" w:bidi="yi-Hebr"/>
        </w:rPr>
        <w:t>2013.</w:t>
      </w:r>
    </w:p>
    <w:p w:rsidR="000624F4" w:rsidRPr="00337F3A" w:rsidRDefault="000624F4" w:rsidP="000624F4">
      <w:pPr>
        <w:overflowPunct/>
        <w:autoSpaceDE/>
        <w:autoSpaceDN/>
        <w:adjustRightInd/>
        <w:spacing w:after="0"/>
        <w:ind w:firstLine="0"/>
        <w:jc w:val="left"/>
        <w:textAlignment w:val="auto"/>
        <w:rPr>
          <w:noProof/>
          <w:sz w:val="22"/>
          <w:szCs w:val="22"/>
          <w:lang w:val="lv-LV" w:bidi="yi-Hebr"/>
        </w:rPr>
      </w:pPr>
      <w:r w:rsidRPr="00337F3A">
        <w:rPr>
          <w:noProof/>
          <w:sz w:val="22"/>
          <w:szCs w:val="22"/>
          <w:lang w:val="lv-LV" w:bidi="yi-Hebr"/>
        </w:rPr>
        <w:t>1</w:t>
      </w:r>
      <w:r w:rsidR="00597BBE">
        <w:rPr>
          <w:noProof/>
          <w:sz w:val="22"/>
          <w:szCs w:val="22"/>
          <w:lang w:val="lv-LV" w:bidi="yi-Hebr"/>
        </w:rPr>
        <w:t>37</w:t>
      </w:r>
      <w:r w:rsidR="008A0728">
        <w:rPr>
          <w:noProof/>
          <w:sz w:val="22"/>
          <w:szCs w:val="22"/>
          <w:lang w:val="lv-LV" w:bidi="yi-Hebr"/>
        </w:rPr>
        <w:t>7</w:t>
      </w:r>
    </w:p>
    <w:p w:rsidR="000624F4" w:rsidRPr="00337F3A" w:rsidRDefault="000624F4" w:rsidP="000624F4">
      <w:pPr>
        <w:overflowPunct/>
        <w:autoSpaceDE/>
        <w:autoSpaceDN/>
        <w:adjustRightInd/>
        <w:spacing w:after="0"/>
        <w:ind w:firstLine="0"/>
        <w:jc w:val="left"/>
        <w:textAlignment w:val="auto"/>
        <w:rPr>
          <w:noProof/>
          <w:sz w:val="22"/>
          <w:szCs w:val="22"/>
          <w:lang w:val="lv-LV" w:bidi="yi-Hebr"/>
        </w:rPr>
      </w:pPr>
      <w:bookmarkStart w:id="5" w:name="OLE_LINK3"/>
      <w:bookmarkStart w:id="6" w:name="OLE_LINK4"/>
      <w:r w:rsidRPr="00337F3A">
        <w:rPr>
          <w:noProof/>
          <w:sz w:val="22"/>
          <w:szCs w:val="22"/>
          <w:lang w:val="lv-LV" w:bidi="yi-Hebr"/>
        </w:rPr>
        <w:t>S.Pujāte</w:t>
      </w:r>
      <w:bookmarkEnd w:id="5"/>
      <w:bookmarkEnd w:id="6"/>
      <w:r w:rsidRPr="00337F3A">
        <w:rPr>
          <w:noProof/>
          <w:sz w:val="22"/>
          <w:szCs w:val="22"/>
          <w:lang w:val="lv-LV" w:bidi="yi-Hebr"/>
        </w:rPr>
        <w:tab/>
      </w:r>
    </w:p>
    <w:p w:rsidR="000624F4" w:rsidRPr="00337F3A" w:rsidRDefault="000624F4" w:rsidP="000624F4">
      <w:pPr>
        <w:overflowPunct/>
        <w:autoSpaceDE/>
        <w:autoSpaceDN/>
        <w:adjustRightInd/>
        <w:spacing w:after="0"/>
        <w:ind w:firstLine="0"/>
        <w:jc w:val="left"/>
        <w:textAlignment w:val="auto"/>
        <w:rPr>
          <w:noProof/>
          <w:sz w:val="22"/>
          <w:szCs w:val="22"/>
          <w:lang w:val="lv-LV" w:bidi="yi-Hebr"/>
        </w:rPr>
      </w:pPr>
      <w:bookmarkStart w:id="7" w:name="OLE_LINK7"/>
      <w:bookmarkStart w:id="8" w:name="OLE_LINK8"/>
      <w:r w:rsidRPr="00337F3A">
        <w:rPr>
          <w:noProof/>
          <w:sz w:val="22"/>
          <w:szCs w:val="22"/>
          <w:lang w:val="lv-LV" w:bidi="yi-Hebr"/>
        </w:rPr>
        <w:t>Tālr.67228985; fakss 67227405</w:t>
      </w:r>
    </w:p>
    <w:p w:rsidR="000624F4" w:rsidRPr="00337F3A" w:rsidRDefault="002A7BBD" w:rsidP="000624F4">
      <w:pPr>
        <w:overflowPunct/>
        <w:autoSpaceDE/>
        <w:autoSpaceDN/>
        <w:adjustRightInd/>
        <w:spacing w:after="0"/>
        <w:ind w:firstLine="0"/>
        <w:jc w:val="left"/>
        <w:textAlignment w:val="auto"/>
        <w:rPr>
          <w:noProof/>
          <w:sz w:val="22"/>
          <w:szCs w:val="22"/>
          <w:lang w:val="lv-LV" w:bidi="yi-Hebr"/>
        </w:rPr>
      </w:pPr>
      <w:hyperlink r:id="rId9" w:history="1">
        <w:r w:rsidR="00337F3A" w:rsidRPr="004D719B">
          <w:rPr>
            <w:rStyle w:val="Hyperlink"/>
            <w:noProof/>
            <w:sz w:val="22"/>
            <w:szCs w:val="22"/>
            <w:lang w:val="lv-LV" w:bidi="yi-Hebr"/>
          </w:rPr>
          <w:t>Signe.Pujate@lnkc.gov.lv</w:t>
        </w:r>
      </w:hyperlink>
      <w:r w:rsidR="00337F3A" w:rsidRPr="00337F3A">
        <w:rPr>
          <w:noProof/>
          <w:sz w:val="22"/>
          <w:szCs w:val="22"/>
          <w:lang w:val="lv-LV" w:bidi="yi-Hebr"/>
        </w:rPr>
        <w:t xml:space="preserve"> </w:t>
      </w:r>
    </w:p>
    <w:bookmarkEnd w:id="7"/>
    <w:bookmarkEnd w:id="8"/>
    <w:p w:rsidR="006008E7" w:rsidRPr="001C329B" w:rsidRDefault="006008E7" w:rsidP="006008E7">
      <w:pPr>
        <w:overflowPunct/>
        <w:autoSpaceDE/>
        <w:autoSpaceDN/>
        <w:adjustRightInd/>
        <w:spacing w:after="0"/>
        <w:ind w:firstLine="0"/>
        <w:jc w:val="left"/>
        <w:textAlignment w:val="auto"/>
        <w:rPr>
          <w:noProof/>
          <w:vanish/>
          <w:szCs w:val="24"/>
          <w:lang w:bidi="yi-Hebr"/>
        </w:rPr>
      </w:pPr>
    </w:p>
    <w:p w:rsidR="00BE63FD" w:rsidRPr="001C329B" w:rsidRDefault="00BE63FD" w:rsidP="001675AF">
      <w:pPr>
        <w:ind w:firstLine="0"/>
        <w:rPr>
          <w:noProof/>
          <w:lang w:bidi="yi-Hebr"/>
        </w:rPr>
      </w:pPr>
    </w:p>
    <w:sectPr w:rsidR="00BE63FD" w:rsidRPr="001C329B" w:rsidSect="002625EA">
      <w:headerReference w:type="default" r:id="rId10"/>
      <w:footerReference w:type="default" r:id="rId11"/>
      <w:footerReference w:type="first" r:id="rId12"/>
      <w:pgSz w:w="11906" w:h="16838"/>
      <w:pgMar w:top="1134" w:right="1077"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BD" w:rsidRDefault="002A7BBD" w:rsidP="002625EA">
      <w:pPr>
        <w:spacing w:after="0"/>
      </w:pPr>
      <w:r>
        <w:separator/>
      </w:r>
    </w:p>
  </w:endnote>
  <w:endnote w:type="continuationSeparator" w:id="0">
    <w:p w:rsidR="002A7BBD" w:rsidRDefault="002A7BBD" w:rsidP="00262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filma">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A" w:rsidRPr="00337F3A" w:rsidRDefault="00E4298A" w:rsidP="00337F3A">
    <w:pPr>
      <w:spacing w:after="0"/>
      <w:ind w:firstLine="0"/>
      <w:rPr>
        <w:rFonts w:asciiTheme="majorBidi" w:hAnsiTheme="majorBidi" w:cstheme="majorBidi"/>
        <w:noProof/>
        <w:sz w:val="22"/>
        <w:szCs w:val="22"/>
        <w:lang w:val="lv-LV" w:bidi="yi-Hebr"/>
      </w:rPr>
    </w:pPr>
    <w:r w:rsidRPr="00337F3A">
      <w:rPr>
        <w:bCs/>
        <w:sz w:val="22"/>
        <w:szCs w:val="22"/>
        <w:lang w:val="lv-LV"/>
      </w:rPr>
      <w:t>KMZino_</w:t>
    </w:r>
    <w:r w:rsidR="00573F04">
      <w:rPr>
        <w:rFonts w:asciiTheme="majorBidi" w:hAnsiTheme="majorBidi" w:cstheme="majorBidi"/>
        <w:bCs/>
        <w:sz w:val="22"/>
        <w:szCs w:val="22"/>
        <w:lang w:val="lv-LV"/>
      </w:rPr>
      <w:t>2811</w:t>
    </w:r>
    <w:r w:rsidR="00573F04" w:rsidRPr="00337F3A">
      <w:rPr>
        <w:rFonts w:asciiTheme="majorBidi" w:hAnsiTheme="majorBidi" w:cstheme="majorBidi"/>
        <w:bCs/>
        <w:sz w:val="22"/>
        <w:szCs w:val="22"/>
        <w:lang w:val="lv-LV"/>
      </w:rPr>
      <w:t>13</w:t>
    </w:r>
    <w:r w:rsidRPr="00337F3A">
      <w:rPr>
        <w:rFonts w:asciiTheme="majorBidi" w:hAnsiTheme="majorBidi" w:cstheme="majorBidi"/>
        <w:bCs/>
        <w:sz w:val="22"/>
        <w:szCs w:val="22"/>
        <w:lang w:val="lv-LV"/>
      </w:rPr>
      <w:t>_DzSv_fin</w:t>
    </w:r>
    <w:r w:rsidRPr="00337F3A">
      <w:rPr>
        <w:rFonts w:asciiTheme="majorBidi" w:hAnsiTheme="majorBidi" w:cstheme="majorBidi"/>
        <w:sz w:val="22"/>
        <w:szCs w:val="22"/>
        <w:lang w:val="lv-LV"/>
      </w:rPr>
      <w:t>; Informatīvais ziņojums „</w:t>
    </w:r>
    <w:r w:rsidRPr="00337F3A">
      <w:rPr>
        <w:rFonts w:asciiTheme="majorBidi" w:hAnsiTheme="majorBidi" w:cstheme="majorBidi"/>
        <w:noProof/>
        <w:sz w:val="22"/>
        <w:szCs w:val="22"/>
        <w:lang w:val="lv-LV" w:bidi="yi-Hebr"/>
      </w:rPr>
      <w:t xml:space="preserve">Par XXV Vispārējo latviešu dziesmu un XV Deju svētku </w:t>
    </w:r>
    <w:r w:rsidRPr="00337F3A">
      <w:rPr>
        <w:rFonts w:asciiTheme="majorBidi" w:hAnsiTheme="majorBidi" w:cstheme="majorBidi"/>
        <w:sz w:val="22"/>
        <w:szCs w:val="22"/>
        <w:lang w:val="lv-LV"/>
      </w:rPr>
      <w:t>īstenošanai piešķirtā finansējuma izlietojumu”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A" w:rsidRPr="00337F3A" w:rsidRDefault="00E4298A" w:rsidP="00337F3A">
    <w:pPr>
      <w:spacing w:after="0"/>
      <w:ind w:firstLine="0"/>
      <w:rPr>
        <w:rFonts w:asciiTheme="majorBidi" w:hAnsiTheme="majorBidi" w:cstheme="majorBidi"/>
        <w:noProof/>
        <w:sz w:val="22"/>
        <w:szCs w:val="22"/>
        <w:lang w:val="lv-LV" w:bidi="yi-Hebr"/>
      </w:rPr>
    </w:pPr>
    <w:r w:rsidRPr="00337F3A">
      <w:rPr>
        <w:bCs/>
        <w:sz w:val="22"/>
        <w:szCs w:val="22"/>
        <w:lang w:val="lv-LV"/>
      </w:rPr>
      <w:t>KMZino_</w:t>
    </w:r>
    <w:r w:rsidR="00573F04">
      <w:rPr>
        <w:rFonts w:asciiTheme="majorBidi" w:hAnsiTheme="majorBidi" w:cstheme="majorBidi"/>
        <w:bCs/>
        <w:sz w:val="22"/>
        <w:szCs w:val="22"/>
        <w:lang w:val="lv-LV"/>
      </w:rPr>
      <w:t>2811</w:t>
    </w:r>
    <w:r w:rsidR="00573F04" w:rsidRPr="00337F3A">
      <w:rPr>
        <w:rFonts w:asciiTheme="majorBidi" w:hAnsiTheme="majorBidi" w:cstheme="majorBidi"/>
        <w:bCs/>
        <w:sz w:val="22"/>
        <w:szCs w:val="22"/>
        <w:lang w:val="lv-LV"/>
      </w:rPr>
      <w:t>13</w:t>
    </w:r>
    <w:r w:rsidRPr="00337F3A">
      <w:rPr>
        <w:rFonts w:asciiTheme="majorBidi" w:hAnsiTheme="majorBidi" w:cstheme="majorBidi"/>
        <w:bCs/>
        <w:sz w:val="22"/>
        <w:szCs w:val="22"/>
        <w:lang w:val="lv-LV"/>
      </w:rPr>
      <w:t>_DzSv_fin</w:t>
    </w:r>
    <w:r w:rsidRPr="00337F3A">
      <w:rPr>
        <w:rFonts w:asciiTheme="majorBidi" w:hAnsiTheme="majorBidi" w:cstheme="majorBidi"/>
        <w:sz w:val="22"/>
        <w:szCs w:val="22"/>
        <w:lang w:val="lv-LV"/>
      </w:rPr>
      <w:t>; Informatīvais ziņojums „</w:t>
    </w:r>
    <w:r w:rsidRPr="00337F3A">
      <w:rPr>
        <w:rFonts w:asciiTheme="majorBidi" w:hAnsiTheme="majorBidi" w:cstheme="majorBidi"/>
        <w:noProof/>
        <w:sz w:val="22"/>
        <w:szCs w:val="22"/>
        <w:lang w:val="lv-LV" w:bidi="yi-Hebr"/>
      </w:rPr>
      <w:t xml:space="preserve">Par XXV Vispārējo latviešu dziesmu un XV Deju svētku </w:t>
    </w:r>
    <w:r w:rsidRPr="00337F3A">
      <w:rPr>
        <w:rFonts w:asciiTheme="majorBidi" w:hAnsiTheme="majorBidi" w:cstheme="majorBidi"/>
        <w:sz w:val="22"/>
        <w:szCs w:val="22"/>
        <w:lang w:val="lv-LV"/>
      </w:rPr>
      <w:t>īstenošanai piešķirtā finansējuma izlietojumu”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BD" w:rsidRDefault="002A7BBD" w:rsidP="002625EA">
      <w:pPr>
        <w:spacing w:after="0"/>
      </w:pPr>
      <w:r>
        <w:separator/>
      </w:r>
    </w:p>
  </w:footnote>
  <w:footnote w:type="continuationSeparator" w:id="0">
    <w:p w:rsidR="002A7BBD" w:rsidRDefault="002A7BBD" w:rsidP="002625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A" w:rsidRPr="00687AC0" w:rsidRDefault="00C27C9C">
    <w:pPr>
      <w:pStyle w:val="Header"/>
      <w:jc w:val="center"/>
      <w:rPr>
        <w:szCs w:val="24"/>
      </w:rPr>
    </w:pPr>
    <w:r w:rsidRPr="00687AC0">
      <w:rPr>
        <w:szCs w:val="24"/>
      </w:rPr>
      <w:fldChar w:fldCharType="begin"/>
    </w:r>
    <w:r w:rsidR="00E4298A" w:rsidRPr="00687AC0">
      <w:rPr>
        <w:szCs w:val="24"/>
      </w:rPr>
      <w:instrText xml:space="preserve"> PAGE   \* MERGEFORMAT </w:instrText>
    </w:r>
    <w:r w:rsidRPr="00687AC0">
      <w:rPr>
        <w:szCs w:val="24"/>
      </w:rPr>
      <w:fldChar w:fldCharType="separate"/>
    </w:r>
    <w:r w:rsidR="00C663F0">
      <w:rPr>
        <w:noProof/>
        <w:szCs w:val="24"/>
      </w:rPr>
      <w:t>6</w:t>
    </w:r>
    <w:r w:rsidRPr="00687AC0">
      <w:rPr>
        <w:szCs w:val="24"/>
      </w:rPr>
      <w:fldChar w:fldCharType="end"/>
    </w:r>
  </w:p>
  <w:p w:rsidR="00E4298A" w:rsidRDefault="00E42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E162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D60880"/>
    <w:multiLevelType w:val="hybridMultilevel"/>
    <w:tmpl w:val="8C3C6EA4"/>
    <w:lvl w:ilvl="0" w:tplc="CAA84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4154DC"/>
    <w:multiLevelType w:val="hybridMultilevel"/>
    <w:tmpl w:val="B0680322"/>
    <w:lvl w:ilvl="0" w:tplc="05F003E4">
      <w:start w:val="1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2">
    <w:nsid w:val="25B00C12"/>
    <w:multiLevelType w:val="hybridMultilevel"/>
    <w:tmpl w:val="E73A51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FE865D2"/>
    <w:multiLevelType w:val="hybridMultilevel"/>
    <w:tmpl w:val="EAE29774"/>
    <w:lvl w:ilvl="0" w:tplc="8284A4B2">
      <w:start w:val="321"/>
      <w:numFmt w:val="bullet"/>
      <w:lvlText w:val=""/>
      <w:lvlJc w:val="left"/>
      <w:pPr>
        <w:ind w:left="1440" w:hanging="360"/>
      </w:pPr>
      <w:rPr>
        <w:rFonts w:ascii="Symbol" w:eastAsia="Times New Roman" w:hAnsi="Symbol" w:cs="Times New Roman" w:hint="default"/>
        <w:b w:val="0"/>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18D6F9D"/>
    <w:multiLevelType w:val="hybridMultilevel"/>
    <w:tmpl w:val="CFC66B4C"/>
    <w:lvl w:ilvl="0" w:tplc="7D105AA4">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ECF15FE"/>
    <w:multiLevelType w:val="hybridMultilevel"/>
    <w:tmpl w:val="921E3680"/>
    <w:lvl w:ilvl="0" w:tplc="CA2EF93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91A77BB"/>
    <w:multiLevelType w:val="hybridMultilevel"/>
    <w:tmpl w:val="BD806E32"/>
    <w:lvl w:ilvl="0" w:tplc="D9FC2CE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2703F22"/>
    <w:multiLevelType w:val="hybridMultilevel"/>
    <w:tmpl w:val="0B40E5EE"/>
    <w:lvl w:ilvl="0" w:tplc="6016C68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627D1053"/>
    <w:multiLevelType w:val="hybridMultilevel"/>
    <w:tmpl w:val="05A27DAA"/>
    <w:lvl w:ilvl="0" w:tplc="6B74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25"/>
  </w:num>
  <w:num w:numId="7">
    <w:abstractNumId w:val="15"/>
  </w:num>
  <w:num w:numId="8">
    <w:abstractNumId w:val="34"/>
  </w:num>
  <w:num w:numId="9">
    <w:abstractNumId w:val="41"/>
  </w:num>
  <w:num w:numId="10">
    <w:abstractNumId w:val="6"/>
  </w:num>
  <w:num w:numId="11">
    <w:abstractNumId w:val="27"/>
  </w:num>
  <w:num w:numId="12">
    <w:abstractNumId w:val="10"/>
  </w:num>
  <w:num w:numId="13">
    <w:abstractNumId w:val="7"/>
  </w:num>
  <w:num w:numId="14">
    <w:abstractNumId w:val="31"/>
  </w:num>
  <w:num w:numId="15">
    <w:abstractNumId w:val="40"/>
  </w:num>
  <w:num w:numId="16">
    <w:abstractNumId w:val="22"/>
  </w:num>
  <w:num w:numId="17">
    <w:abstractNumId w:val="16"/>
  </w:num>
  <w:num w:numId="18">
    <w:abstractNumId w:val="38"/>
  </w:num>
  <w:num w:numId="19">
    <w:abstractNumId w:val="11"/>
  </w:num>
  <w:num w:numId="20">
    <w:abstractNumId w:val="39"/>
  </w:num>
  <w:num w:numId="21">
    <w:abstractNumId w:val="37"/>
  </w:num>
  <w:num w:numId="22">
    <w:abstractNumId w:val="35"/>
  </w:num>
  <w:num w:numId="23">
    <w:abstractNumId w:val="14"/>
  </w:num>
  <w:num w:numId="24">
    <w:abstractNumId w:val="17"/>
  </w:num>
  <w:num w:numId="25">
    <w:abstractNumId w:val="29"/>
  </w:num>
  <w:num w:numId="26">
    <w:abstractNumId w:val="18"/>
  </w:num>
  <w:num w:numId="27">
    <w:abstractNumId w:val="3"/>
  </w:num>
  <w:num w:numId="28">
    <w:abstractNumId w:val="19"/>
  </w:num>
  <w:num w:numId="29">
    <w:abstractNumId w:val="13"/>
  </w:num>
  <w:num w:numId="30">
    <w:abstractNumId w:val="23"/>
  </w:num>
  <w:num w:numId="31">
    <w:abstractNumId w:val="20"/>
  </w:num>
  <w:num w:numId="32">
    <w:abstractNumId w:val="24"/>
  </w:num>
  <w:num w:numId="33">
    <w:abstractNumId w:val="9"/>
  </w:num>
  <w:num w:numId="34">
    <w:abstractNumId w:val="33"/>
  </w:num>
  <w:num w:numId="35">
    <w:abstractNumId w:val="36"/>
  </w:num>
  <w:num w:numId="36">
    <w:abstractNumId w:val="1"/>
  </w:num>
  <w:num w:numId="37">
    <w:abstractNumId w:val="21"/>
  </w:num>
  <w:num w:numId="38">
    <w:abstractNumId w:val="28"/>
  </w:num>
  <w:num w:numId="39">
    <w:abstractNumId w:val="12"/>
  </w:num>
  <w:num w:numId="40">
    <w:abstractNumId w:val="8"/>
  </w:num>
  <w:num w:numId="41">
    <w:abstractNumId w:val="4"/>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5F8"/>
    <w:rsid w:val="00003B72"/>
    <w:rsid w:val="00023ED6"/>
    <w:rsid w:val="00033DFA"/>
    <w:rsid w:val="000351BA"/>
    <w:rsid w:val="0005246C"/>
    <w:rsid w:val="000624F4"/>
    <w:rsid w:val="0007771E"/>
    <w:rsid w:val="00094FDA"/>
    <w:rsid w:val="00096EAB"/>
    <w:rsid w:val="000A0FF0"/>
    <w:rsid w:val="000A1D93"/>
    <w:rsid w:val="000C2668"/>
    <w:rsid w:val="000E11FF"/>
    <w:rsid w:val="000E4BC8"/>
    <w:rsid w:val="000F047B"/>
    <w:rsid w:val="00112E8D"/>
    <w:rsid w:val="00130E4E"/>
    <w:rsid w:val="00135073"/>
    <w:rsid w:val="00157D8A"/>
    <w:rsid w:val="001675AF"/>
    <w:rsid w:val="0018594B"/>
    <w:rsid w:val="001B520F"/>
    <w:rsid w:val="001C329B"/>
    <w:rsid w:val="00213B14"/>
    <w:rsid w:val="00243D31"/>
    <w:rsid w:val="0026018D"/>
    <w:rsid w:val="002625EA"/>
    <w:rsid w:val="00282AD9"/>
    <w:rsid w:val="002A7BBD"/>
    <w:rsid w:val="002B1DF2"/>
    <w:rsid w:val="002C52A1"/>
    <w:rsid w:val="002C6B7D"/>
    <w:rsid w:val="002D376B"/>
    <w:rsid w:val="002E5551"/>
    <w:rsid w:val="00320BA5"/>
    <w:rsid w:val="00337F3A"/>
    <w:rsid w:val="00344998"/>
    <w:rsid w:val="00354F0C"/>
    <w:rsid w:val="003553E5"/>
    <w:rsid w:val="00372516"/>
    <w:rsid w:val="00397C89"/>
    <w:rsid w:val="003D23D6"/>
    <w:rsid w:val="003D7AB6"/>
    <w:rsid w:val="003E3346"/>
    <w:rsid w:val="004101C3"/>
    <w:rsid w:val="00427392"/>
    <w:rsid w:val="00445A09"/>
    <w:rsid w:val="004525B2"/>
    <w:rsid w:val="00456F70"/>
    <w:rsid w:val="004773F9"/>
    <w:rsid w:val="004919D5"/>
    <w:rsid w:val="00497A00"/>
    <w:rsid w:val="004D0FD4"/>
    <w:rsid w:val="004D5365"/>
    <w:rsid w:val="00500ED5"/>
    <w:rsid w:val="005126F1"/>
    <w:rsid w:val="005405F8"/>
    <w:rsid w:val="005426B5"/>
    <w:rsid w:val="00552535"/>
    <w:rsid w:val="00573F04"/>
    <w:rsid w:val="00583C14"/>
    <w:rsid w:val="00597BBE"/>
    <w:rsid w:val="005B44FE"/>
    <w:rsid w:val="005B681A"/>
    <w:rsid w:val="005E1A61"/>
    <w:rsid w:val="005F77B5"/>
    <w:rsid w:val="006008E7"/>
    <w:rsid w:val="00602186"/>
    <w:rsid w:val="006376D9"/>
    <w:rsid w:val="00671569"/>
    <w:rsid w:val="00685262"/>
    <w:rsid w:val="006B6CAE"/>
    <w:rsid w:val="006C2DE8"/>
    <w:rsid w:val="006E2062"/>
    <w:rsid w:val="006E5459"/>
    <w:rsid w:val="006F462D"/>
    <w:rsid w:val="0072091C"/>
    <w:rsid w:val="00746366"/>
    <w:rsid w:val="0075117B"/>
    <w:rsid w:val="007630E5"/>
    <w:rsid w:val="00772365"/>
    <w:rsid w:val="007B0A39"/>
    <w:rsid w:val="007B51E7"/>
    <w:rsid w:val="007B552C"/>
    <w:rsid w:val="007C2FAA"/>
    <w:rsid w:val="007D0BEE"/>
    <w:rsid w:val="007D5F48"/>
    <w:rsid w:val="008102A5"/>
    <w:rsid w:val="00811F4C"/>
    <w:rsid w:val="00835692"/>
    <w:rsid w:val="00847F86"/>
    <w:rsid w:val="00880DAB"/>
    <w:rsid w:val="00884F77"/>
    <w:rsid w:val="008A0728"/>
    <w:rsid w:val="008A1C31"/>
    <w:rsid w:val="008A2BD6"/>
    <w:rsid w:val="008B0BE4"/>
    <w:rsid w:val="008E5134"/>
    <w:rsid w:val="008E534A"/>
    <w:rsid w:val="009106F3"/>
    <w:rsid w:val="00913822"/>
    <w:rsid w:val="0092016A"/>
    <w:rsid w:val="00927617"/>
    <w:rsid w:val="009432E1"/>
    <w:rsid w:val="009523EB"/>
    <w:rsid w:val="00964F1B"/>
    <w:rsid w:val="00966D59"/>
    <w:rsid w:val="00972967"/>
    <w:rsid w:val="00974618"/>
    <w:rsid w:val="009933F5"/>
    <w:rsid w:val="009A4DDC"/>
    <w:rsid w:val="009B5C31"/>
    <w:rsid w:val="009F25F1"/>
    <w:rsid w:val="00A272D7"/>
    <w:rsid w:val="00A36896"/>
    <w:rsid w:val="00A911EC"/>
    <w:rsid w:val="00A96A18"/>
    <w:rsid w:val="00AC3798"/>
    <w:rsid w:val="00AE5828"/>
    <w:rsid w:val="00AF5629"/>
    <w:rsid w:val="00B0516A"/>
    <w:rsid w:val="00B1459D"/>
    <w:rsid w:val="00B73B39"/>
    <w:rsid w:val="00B93687"/>
    <w:rsid w:val="00BA7DD3"/>
    <w:rsid w:val="00BE0AFA"/>
    <w:rsid w:val="00BE63FD"/>
    <w:rsid w:val="00BE6AAB"/>
    <w:rsid w:val="00BF16A2"/>
    <w:rsid w:val="00C10279"/>
    <w:rsid w:val="00C11331"/>
    <w:rsid w:val="00C27C9C"/>
    <w:rsid w:val="00C5015A"/>
    <w:rsid w:val="00C5222B"/>
    <w:rsid w:val="00C53A75"/>
    <w:rsid w:val="00C663F0"/>
    <w:rsid w:val="00C9526A"/>
    <w:rsid w:val="00CB50B6"/>
    <w:rsid w:val="00D56F70"/>
    <w:rsid w:val="00D87512"/>
    <w:rsid w:val="00DB6213"/>
    <w:rsid w:val="00DF5F9C"/>
    <w:rsid w:val="00E058E4"/>
    <w:rsid w:val="00E20097"/>
    <w:rsid w:val="00E23503"/>
    <w:rsid w:val="00E4298A"/>
    <w:rsid w:val="00E4656B"/>
    <w:rsid w:val="00E57A74"/>
    <w:rsid w:val="00E84855"/>
    <w:rsid w:val="00EB7E8D"/>
    <w:rsid w:val="00ED309E"/>
    <w:rsid w:val="00EE196F"/>
    <w:rsid w:val="00EF0681"/>
    <w:rsid w:val="00F06DBE"/>
    <w:rsid w:val="00F15A79"/>
    <w:rsid w:val="00F31801"/>
    <w:rsid w:val="00F35151"/>
    <w:rsid w:val="00F47098"/>
    <w:rsid w:val="00F60BFA"/>
    <w:rsid w:val="00FA0EEF"/>
    <w:rsid w:val="00FB7BEC"/>
    <w:rsid w:val="00FD0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6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05F8"/>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59"/>
    <w:rsid w:val="005405F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5F8"/>
    <w:pPr>
      <w:ind w:left="720"/>
      <w:contextualSpacing/>
    </w:pPr>
  </w:style>
  <w:style w:type="paragraph" w:styleId="Header">
    <w:name w:val="header"/>
    <w:basedOn w:val="Normal"/>
    <w:link w:val="HeaderChar"/>
    <w:uiPriority w:val="99"/>
    <w:unhideWhenUsed/>
    <w:rsid w:val="005405F8"/>
    <w:pPr>
      <w:tabs>
        <w:tab w:val="center" w:pos="4153"/>
        <w:tab w:val="right" w:pos="8306"/>
      </w:tabs>
      <w:spacing w:after="0"/>
    </w:pPr>
  </w:style>
  <w:style w:type="character" w:customStyle="1" w:styleId="HeaderChar">
    <w:name w:val="Header Char"/>
    <w:basedOn w:val="DefaultParagraphFont"/>
    <w:link w:val="Header"/>
    <w:uiPriority w:val="99"/>
    <w:rsid w:val="005405F8"/>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5405F8"/>
    <w:pPr>
      <w:tabs>
        <w:tab w:val="center" w:pos="4153"/>
        <w:tab w:val="right" w:pos="8306"/>
      </w:tabs>
      <w:spacing w:after="0"/>
    </w:pPr>
  </w:style>
  <w:style w:type="character" w:customStyle="1" w:styleId="FooterChar">
    <w:name w:val="Footer Char"/>
    <w:basedOn w:val="DefaultParagraphFont"/>
    <w:link w:val="Footer"/>
    <w:uiPriority w:val="99"/>
    <w:rsid w:val="005405F8"/>
    <w:rPr>
      <w:rFonts w:ascii="Times New Roman" w:eastAsia="Times New Roman" w:hAnsi="Times New Roman" w:cs="Times New Roman"/>
      <w:sz w:val="24"/>
      <w:szCs w:val="20"/>
      <w:lang w:val="en-GB" w:eastAsia="lv-LV"/>
    </w:rPr>
  </w:style>
  <w:style w:type="paragraph" w:styleId="BalloonText">
    <w:name w:val="Balloon Text"/>
    <w:basedOn w:val="Normal"/>
    <w:link w:val="BalloonTextChar"/>
    <w:uiPriority w:val="99"/>
    <w:semiHidden/>
    <w:unhideWhenUsed/>
    <w:rsid w:val="005405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F8"/>
    <w:rPr>
      <w:rFonts w:ascii="Tahoma" w:eastAsia="Times New Roman" w:hAnsi="Tahoma" w:cs="Tahoma"/>
      <w:sz w:val="16"/>
      <w:szCs w:val="16"/>
      <w:lang w:val="en-GB" w:eastAsia="lv-LV"/>
    </w:rPr>
  </w:style>
  <w:style w:type="character" w:styleId="Hyperlink">
    <w:name w:val="Hyperlink"/>
    <w:basedOn w:val="DefaultParagraphFont"/>
    <w:uiPriority w:val="99"/>
    <w:rsid w:val="005405F8"/>
    <w:rPr>
      <w:rFonts w:cs="Times New Roman"/>
      <w:color w:val="0000FF"/>
      <w:u w:val="single"/>
    </w:rPr>
  </w:style>
  <w:style w:type="character" w:styleId="Emphasis">
    <w:name w:val="Emphasis"/>
    <w:basedOn w:val="DefaultParagraphFont"/>
    <w:uiPriority w:val="20"/>
    <w:qFormat/>
    <w:rsid w:val="005405F8"/>
    <w:rPr>
      <w:b/>
      <w:bCs/>
      <w:i w:val="0"/>
      <w:iCs w:val="0"/>
    </w:rPr>
  </w:style>
  <w:style w:type="character" w:customStyle="1" w:styleId="spelle">
    <w:name w:val="spelle"/>
    <w:basedOn w:val="DefaultParagraphFont"/>
    <w:rsid w:val="005405F8"/>
  </w:style>
  <w:style w:type="character" w:customStyle="1" w:styleId="style61">
    <w:name w:val="style61"/>
    <w:basedOn w:val="DefaultParagraphFont"/>
    <w:rsid w:val="005405F8"/>
    <w:rPr>
      <w:sz w:val="27"/>
      <w:szCs w:val="27"/>
    </w:rPr>
  </w:style>
  <w:style w:type="paragraph" w:styleId="BodyTextIndent2">
    <w:name w:val="Body Text Indent 2"/>
    <w:basedOn w:val="Normal"/>
    <w:link w:val="BodyTextIndent2Char"/>
    <w:uiPriority w:val="99"/>
    <w:unhideWhenUsed/>
    <w:rsid w:val="005405F8"/>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405F8"/>
    <w:rPr>
      <w:rFonts w:ascii="Calibri" w:eastAsia="Calibri" w:hAnsi="Calibri" w:cs="Times New Roman"/>
      <w:lang w:val="en-GB"/>
    </w:rPr>
  </w:style>
  <w:style w:type="character" w:styleId="CommentReference">
    <w:name w:val="annotation reference"/>
    <w:basedOn w:val="DefaultParagraphFont"/>
    <w:uiPriority w:val="99"/>
    <w:semiHidden/>
    <w:unhideWhenUsed/>
    <w:rsid w:val="005405F8"/>
    <w:rPr>
      <w:sz w:val="16"/>
      <w:szCs w:val="16"/>
    </w:rPr>
  </w:style>
  <w:style w:type="paragraph" w:styleId="CommentText">
    <w:name w:val="annotation text"/>
    <w:basedOn w:val="Normal"/>
    <w:link w:val="CommentTextChar"/>
    <w:uiPriority w:val="99"/>
    <w:semiHidden/>
    <w:unhideWhenUsed/>
    <w:rsid w:val="005405F8"/>
    <w:rPr>
      <w:sz w:val="20"/>
    </w:rPr>
  </w:style>
  <w:style w:type="character" w:customStyle="1" w:styleId="CommentTextChar">
    <w:name w:val="Comment Text Char"/>
    <w:basedOn w:val="DefaultParagraphFont"/>
    <w:link w:val="CommentText"/>
    <w:uiPriority w:val="99"/>
    <w:semiHidden/>
    <w:rsid w:val="005405F8"/>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405F8"/>
    <w:rPr>
      <w:b/>
      <w:bCs/>
    </w:rPr>
  </w:style>
  <w:style w:type="character" w:customStyle="1" w:styleId="CommentSubjectChar">
    <w:name w:val="Comment Subject Char"/>
    <w:basedOn w:val="CommentTextChar"/>
    <w:link w:val="CommentSubject"/>
    <w:uiPriority w:val="99"/>
    <w:semiHidden/>
    <w:rsid w:val="005405F8"/>
    <w:rPr>
      <w:rFonts w:ascii="Times New Roman" w:eastAsia="Times New Roman" w:hAnsi="Times New Roman" w:cs="Times New Roman"/>
      <w:b/>
      <w:bCs/>
      <w:sz w:val="20"/>
      <w:szCs w:val="20"/>
      <w:lang w:val="en-GB" w:eastAsia="lv-LV"/>
    </w:rPr>
  </w:style>
  <w:style w:type="paragraph" w:customStyle="1" w:styleId="msolistparagraph0">
    <w:name w:val="msolistparagraph"/>
    <w:basedOn w:val="Normal"/>
    <w:rsid w:val="005405F8"/>
    <w:pPr>
      <w:overflowPunct/>
      <w:autoSpaceDE/>
      <w:autoSpaceDN/>
      <w:adjustRightInd/>
      <w:spacing w:before="100" w:beforeAutospacing="1" w:after="100" w:afterAutospacing="1"/>
      <w:ind w:firstLine="0"/>
      <w:jc w:val="left"/>
      <w:textAlignment w:val="auto"/>
    </w:pPr>
    <w:rPr>
      <w:szCs w:val="24"/>
      <w:lang w:val="lv-LV"/>
    </w:rPr>
  </w:style>
  <w:style w:type="paragraph" w:customStyle="1" w:styleId="tvhtml">
    <w:name w:val="tv_html"/>
    <w:basedOn w:val="Normal"/>
    <w:rsid w:val="006008E7"/>
    <w:pPr>
      <w:overflowPunct/>
      <w:autoSpaceDE/>
      <w:autoSpaceDN/>
      <w:adjustRightInd/>
      <w:spacing w:before="100" w:beforeAutospacing="1" w:after="100" w:afterAutospacing="1"/>
      <w:ind w:firstLine="0"/>
      <w:jc w:val="left"/>
      <w:textAlignment w:val="auto"/>
    </w:pPr>
    <w:rPr>
      <w:szCs w:val="24"/>
      <w:lang w:val="lv-LV"/>
    </w:rPr>
  </w:style>
  <w:style w:type="character" w:customStyle="1" w:styleId="apple-converted-space">
    <w:name w:val="apple-converted-space"/>
    <w:basedOn w:val="DefaultParagraphFont"/>
    <w:rsid w:val="000E4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6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05F8"/>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59"/>
    <w:rsid w:val="005405F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5F8"/>
    <w:pPr>
      <w:ind w:left="720"/>
      <w:contextualSpacing/>
    </w:pPr>
  </w:style>
  <w:style w:type="paragraph" w:styleId="Header">
    <w:name w:val="header"/>
    <w:basedOn w:val="Normal"/>
    <w:link w:val="HeaderChar"/>
    <w:uiPriority w:val="99"/>
    <w:unhideWhenUsed/>
    <w:rsid w:val="005405F8"/>
    <w:pPr>
      <w:tabs>
        <w:tab w:val="center" w:pos="4153"/>
        <w:tab w:val="right" w:pos="8306"/>
      </w:tabs>
      <w:spacing w:after="0"/>
    </w:pPr>
  </w:style>
  <w:style w:type="character" w:customStyle="1" w:styleId="HeaderChar">
    <w:name w:val="Header Char"/>
    <w:basedOn w:val="DefaultParagraphFont"/>
    <w:link w:val="Header"/>
    <w:uiPriority w:val="99"/>
    <w:rsid w:val="005405F8"/>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5405F8"/>
    <w:pPr>
      <w:tabs>
        <w:tab w:val="center" w:pos="4153"/>
        <w:tab w:val="right" w:pos="8306"/>
      </w:tabs>
      <w:spacing w:after="0"/>
    </w:pPr>
  </w:style>
  <w:style w:type="character" w:customStyle="1" w:styleId="FooterChar">
    <w:name w:val="Footer Char"/>
    <w:basedOn w:val="DefaultParagraphFont"/>
    <w:link w:val="Footer"/>
    <w:uiPriority w:val="99"/>
    <w:rsid w:val="005405F8"/>
    <w:rPr>
      <w:rFonts w:ascii="Times New Roman" w:eastAsia="Times New Roman" w:hAnsi="Times New Roman" w:cs="Times New Roman"/>
      <w:sz w:val="24"/>
      <w:szCs w:val="20"/>
      <w:lang w:val="en-GB" w:eastAsia="lv-LV"/>
    </w:rPr>
  </w:style>
  <w:style w:type="paragraph" w:styleId="BalloonText">
    <w:name w:val="Balloon Text"/>
    <w:basedOn w:val="Normal"/>
    <w:link w:val="BalloonTextChar"/>
    <w:uiPriority w:val="99"/>
    <w:semiHidden/>
    <w:unhideWhenUsed/>
    <w:rsid w:val="005405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F8"/>
    <w:rPr>
      <w:rFonts w:ascii="Tahoma" w:eastAsia="Times New Roman" w:hAnsi="Tahoma" w:cs="Tahoma"/>
      <w:sz w:val="16"/>
      <w:szCs w:val="16"/>
      <w:lang w:val="en-GB" w:eastAsia="lv-LV"/>
    </w:rPr>
  </w:style>
  <w:style w:type="character" w:styleId="Hyperlink">
    <w:name w:val="Hyperlink"/>
    <w:basedOn w:val="DefaultParagraphFont"/>
    <w:uiPriority w:val="99"/>
    <w:rsid w:val="005405F8"/>
    <w:rPr>
      <w:rFonts w:cs="Times New Roman"/>
      <w:color w:val="0000FF"/>
      <w:u w:val="single"/>
    </w:rPr>
  </w:style>
  <w:style w:type="character" w:styleId="Emphasis">
    <w:name w:val="Emphasis"/>
    <w:basedOn w:val="DefaultParagraphFont"/>
    <w:uiPriority w:val="20"/>
    <w:qFormat/>
    <w:rsid w:val="005405F8"/>
    <w:rPr>
      <w:b/>
      <w:bCs/>
      <w:i w:val="0"/>
      <w:iCs w:val="0"/>
    </w:rPr>
  </w:style>
  <w:style w:type="character" w:customStyle="1" w:styleId="spelle">
    <w:name w:val="spelle"/>
    <w:basedOn w:val="DefaultParagraphFont"/>
    <w:rsid w:val="005405F8"/>
  </w:style>
  <w:style w:type="character" w:customStyle="1" w:styleId="style61">
    <w:name w:val="style61"/>
    <w:basedOn w:val="DefaultParagraphFont"/>
    <w:rsid w:val="005405F8"/>
    <w:rPr>
      <w:sz w:val="27"/>
      <w:szCs w:val="27"/>
    </w:rPr>
  </w:style>
  <w:style w:type="paragraph" w:styleId="BodyTextIndent2">
    <w:name w:val="Body Text Indent 2"/>
    <w:basedOn w:val="Normal"/>
    <w:link w:val="BodyTextIndent2Char"/>
    <w:uiPriority w:val="99"/>
    <w:unhideWhenUsed/>
    <w:rsid w:val="005405F8"/>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405F8"/>
    <w:rPr>
      <w:rFonts w:ascii="Calibri" w:eastAsia="Calibri" w:hAnsi="Calibri" w:cs="Times New Roman"/>
      <w:lang w:val="en-GB"/>
    </w:rPr>
  </w:style>
  <w:style w:type="character" w:styleId="CommentReference">
    <w:name w:val="annotation reference"/>
    <w:basedOn w:val="DefaultParagraphFont"/>
    <w:uiPriority w:val="99"/>
    <w:semiHidden/>
    <w:unhideWhenUsed/>
    <w:rsid w:val="005405F8"/>
    <w:rPr>
      <w:sz w:val="16"/>
      <w:szCs w:val="16"/>
    </w:rPr>
  </w:style>
  <w:style w:type="paragraph" w:styleId="CommentText">
    <w:name w:val="annotation text"/>
    <w:basedOn w:val="Normal"/>
    <w:link w:val="CommentTextChar"/>
    <w:uiPriority w:val="99"/>
    <w:semiHidden/>
    <w:unhideWhenUsed/>
    <w:rsid w:val="005405F8"/>
    <w:rPr>
      <w:sz w:val="20"/>
    </w:rPr>
  </w:style>
  <w:style w:type="character" w:customStyle="1" w:styleId="CommentTextChar">
    <w:name w:val="Comment Text Char"/>
    <w:basedOn w:val="DefaultParagraphFont"/>
    <w:link w:val="CommentText"/>
    <w:uiPriority w:val="99"/>
    <w:semiHidden/>
    <w:rsid w:val="005405F8"/>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405F8"/>
    <w:rPr>
      <w:b/>
      <w:bCs/>
    </w:rPr>
  </w:style>
  <w:style w:type="character" w:customStyle="1" w:styleId="CommentSubjectChar">
    <w:name w:val="Comment Subject Char"/>
    <w:basedOn w:val="CommentTextChar"/>
    <w:link w:val="CommentSubject"/>
    <w:uiPriority w:val="99"/>
    <w:semiHidden/>
    <w:rsid w:val="005405F8"/>
    <w:rPr>
      <w:rFonts w:ascii="Times New Roman" w:eastAsia="Times New Roman" w:hAnsi="Times New Roman" w:cs="Times New Roman"/>
      <w:b/>
      <w:bCs/>
      <w:sz w:val="20"/>
      <w:szCs w:val="20"/>
      <w:lang w:val="en-GB" w:eastAsia="lv-LV"/>
    </w:rPr>
  </w:style>
  <w:style w:type="paragraph" w:customStyle="1" w:styleId="msolistparagraph0">
    <w:name w:val="msolistparagraph"/>
    <w:basedOn w:val="Normal"/>
    <w:rsid w:val="005405F8"/>
    <w:pPr>
      <w:overflowPunct/>
      <w:autoSpaceDE/>
      <w:autoSpaceDN/>
      <w:adjustRightInd/>
      <w:spacing w:before="100" w:beforeAutospacing="1" w:after="100" w:afterAutospacing="1"/>
      <w:ind w:firstLine="0"/>
      <w:jc w:val="left"/>
      <w:textAlignment w:val="auto"/>
    </w:pPr>
    <w:rPr>
      <w:szCs w:val="24"/>
      <w:lang w:val="lv-LV"/>
    </w:rPr>
  </w:style>
  <w:style w:type="paragraph" w:customStyle="1" w:styleId="tvhtml">
    <w:name w:val="tv_html"/>
    <w:basedOn w:val="Normal"/>
    <w:rsid w:val="006008E7"/>
    <w:pPr>
      <w:overflowPunct/>
      <w:autoSpaceDE/>
      <w:autoSpaceDN/>
      <w:adjustRightInd/>
      <w:spacing w:before="100" w:beforeAutospacing="1" w:after="100" w:afterAutospacing="1"/>
      <w:ind w:firstLine="0"/>
      <w:jc w:val="left"/>
      <w:textAlignment w:val="auto"/>
    </w:pPr>
    <w:rPr>
      <w:szCs w:val="24"/>
      <w:lang w:val="lv-LV"/>
    </w:rPr>
  </w:style>
  <w:style w:type="character" w:customStyle="1" w:styleId="apple-converted-space">
    <w:name w:val="apple-converted-space"/>
    <w:basedOn w:val="DefaultParagraphFont"/>
    <w:rsid w:val="000E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94">
      <w:bodyDiv w:val="1"/>
      <w:marLeft w:val="0"/>
      <w:marRight w:val="0"/>
      <w:marTop w:val="0"/>
      <w:marBottom w:val="0"/>
      <w:divBdr>
        <w:top w:val="none" w:sz="0" w:space="0" w:color="auto"/>
        <w:left w:val="none" w:sz="0" w:space="0" w:color="auto"/>
        <w:bottom w:val="none" w:sz="0" w:space="0" w:color="auto"/>
        <w:right w:val="none" w:sz="0" w:space="0" w:color="auto"/>
      </w:divBdr>
    </w:div>
    <w:div w:id="412628084">
      <w:bodyDiv w:val="1"/>
      <w:marLeft w:val="0"/>
      <w:marRight w:val="0"/>
      <w:marTop w:val="0"/>
      <w:marBottom w:val="0"/>
      <w:divBdr>
        <w:top w:val="none" w:sz="0" w:space="0" w:color="auto"/>
        <w:left w:val="none" w:sz="0" w:space="0" w:color="auto"/>
        <w:bottom w:val="none" w:sz="0" w:space="0" w:color="auto"/>
        <w:right w:val="none" w:sz="0" w:space="0" w:color="auto"/>
      </w:divBdr>
    </w:div>
    <w:div w:id="628049664">
      <w:bodyDiv w:val="1"/>
      <w:marLeft w:val="0"/>
      <w:marRight w:val="0"/>
      <w:marTop w:val="0"/>
      <w:marBottom w:val="0"/>
      <w:divBdr>
        <w:top w:val="none" w:sz="0" w:space="0" w:color="auto"/>
        <w:left w:val="none" w:sz="0" w:space="0" w:color="auto"/>
        <w:bottom w:val="none" w:sz="0" w:space="0" w:color="auto"/>
        <w:right w:val="none" w:sz="0" w:space="0" w:color="auto"/>
      </w:divBdr>
    </w:div>
    <w:div w:id="657878176">
      <w:bodyDiv w:val="1"/>
      <w:marLeft w:val="0"/>
      <w:marRight w:val="0"/>
      <w:marTop w:val="0"/>
      <w:marBottom w:val="0"/>
      <w:divBdr>
        <w:top w:val="none" w:sz="0" w:space="0" w:color="auto"/>
        <w:left w:val="none" w:sz="0" w:space="0" w:color="auto"/>
        <w:bottom w:val="none" w:sz="0" w:space="0" w:color="auto"/>
        <w:right w:val="none" w:sz="0" w:space="0" w:color="auto"/>
      </w:divBdr>
    </w:div>
    <w:div w:id="696391142">
      <w:bodyDiv w:val="1"/>
      <w:marLeft w:val="0"/>
      <w:marRight w:val="0"/>
      <w:marTop w:val="0"/>
      <w:marBottom w:val="0"/>
      <w:divBdr>
        <w:top w:val="none" w:sz="0" w:space="0" w:color="auto"/>
        <w:left w:val="none" w:sz="0" w:space="0" w:color="auto"/>
        <w:bottom w:val="none" w:sz="0" w:space="0" w:color="auto"/>
        <w:right w:val="none" w:sz="0" w:space="0" w:color="auto"/>
      </w:divBdr>
    </w:div>
    <w:div w:id="1126580533">
      <w:bodyDiv w:val="1"/>
      <w:marLeft w:val="0"/>
      <w:marRight w:val="0"/>
      <w:marTop w:val="0"/>
      <w:marBottom w:val="0"/>
      <w:divBdr>
        <w:top w:val="none" w:sz="0" w:space="0" w:color="auto"/>
        <w:left w:val="none" w:sz="0" w:space="0" w:color="auto"/>
        <w:bottom w:val="none" w:sz="0" w:space="0" w:color="auto"/>
        <w:right w:val="none" w:sz="0" w:space="0" w:color="auto"/>
      </w:divBdr>
    </w:div>
    <w:div w:id="1310938811">
      <w:bodyDiv w:val="1"/>
      <w:marLeft w:val="0"/>
      <w:marRight w:val="0"/>
      <w:marTop w:val="0"/>
      <w:marBottom w:val="0"/>
      <w:divBdr>
        <w:top w:val="none" w:sz="0" w:space="0" w:color="auto"/>
        <w:left w:val="none" w:sz="0" w:space="0" w:color="auto"/>
        <w:bottom w:val="none" w:sz="0" w:space="0" w:color="auto"/>
        <w:right w:val="none" w:sz="0" w:space="0" w:color="auto"/>
      </w:divBdr>
    </w:div>
    <w:div w:id="1382746796">
      <w:bodyDiv w:val="1"/>
      <w:marLeft w:val="0"/>
      <w:marRight w:val="0"/>
      <w:marTop w:val="0"/>
      <w:marBottom w:val="0"/>
      <w:divBdr>
        <w:top w:val="none" w:sz="0" w:space="0" w:color="auto"/>
        <w:left w:val="none" w:sz="0" w:space="0" w:color="auto"/>
        <w:bottom w:val="none" w:sz="0" w:space="0" w:color="auto"/>
        <w:right w:val="none" w:sz="0" w:space="0" w:color="auto"/>
      </w:divBdr>
    </w:div>
    <w:div w:id="1387415076">
      <w:bodyDiv w:val="1"/>
      <w:marLeft w:val="0"/>
      <w:marRight w:val="0"/>
      <w:marTop w:val="0"/>
      <w:marBottom w:val="0"/>
      <w:divBdr>
        <w:top w:val="none" w:sz="0" w:space="0" w:color="auto"/>
        <w:left w:val="none" w:sz="0" w:space="0" w:color="auto"/>
        <w:bottom w:val="none" w:sz="0" w:space="0" w:color="auto"/>
        <w:right w:val="none" w:sz="0" w:space="0" w:color="auto"/>
      </w:divBdr>
    </w:div>
    <w:div w:id="15992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e.Pujate@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ACCBB-A63C-4653-8020-E247C592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7039</Words>
  <Characters>4013</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XXV Vispārējo latviešu dziesmu un XV Deju svētku īstenošanai piešķirtā finansējuma izlietojumu”</vt:lpstr>
      <vt:lpstr/>
    </vt:vector>
  </TitlesOfParts>
  <Company>Birojs</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XXV Vispārējo latviešu dziesmu un XV Deju svētku īstenošanai piešķirtā finansējuma izlietojumu”</dc:title>
  <dc:subject>informatīvais ziņojums</dc:subject>
  <dc:creator>S.Pujāte</dc:creator>
  <dc:description>Tālr.67228985; fakss 67227405
Signe.Pujate@lnkc.gov.lv</dc:description>
  <cp:lastModifiedBy>Laimdota Adlere</cp:lastModifiedBy>
  <cp:revision>4</cp:revision>
  <cp:lastPrinted>2013-10-16T09:43:00Z</cp:lastPrinted>
  <dcterms:created xsi:type="dcterms:W3CDTF">2013-11-29T09:04:00Z</dcterms:created>
  <dcterms:modified xsi:type="dcterms:W3CDTF">2013-11-29T09:05:00Z</dcterms:modified>
</cp:coreProperties>
</file>